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3BE" w14:textId="6239D0A3" w:rsidR="00DD74F5" w:rsidRDefault="001A11B3" w:rsidP="00137BE1">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155214" wp14:editId="16898A8F">
            <wp:extent cx="4324350" cy="809625"/>
            <wp:effectExtent l="0" t="0" r="0" b="0"/>
            <wp:docPr id="2" name="image2.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10;&#10;Description automatically generated"/>
                    <pic:cNvPicPr preferRelativeResize="0"/>
                  </pic:nvPicPr>
                  <pic:blipFill rotWithShape="1">
                    <a:blip r:embed="rId7"/>
                    <a:srcRect b="49506"/>
                    <a:stretch/>
                  </pic:blipFill>
                  <pic:spPr bwMode="auto">
                    <a:xfrm>
                      <a:off x="0" y="0"/>
                      <a:ext cx="4332063" cy="811069"/>
                    </a:xfrm>
                    <a:prstGeom prst="rect">
                      <a:avLst/>
                    </a:prstGeom>
                    <a:ln>
                      <a:noFill/>
                    </a:ln>
                    <a:extLst>
                      <a:ext uri="{53640926-AAD7-44D8-BBD7-CCE9431645EC}">
                        <a14:shadowObscured xmlns:a14="http://schemas.microsoft.com/office/drawing/2010/main"/>
                      </a:ext>
                    </a:extLst>
                  </pic:spPr>
                </pic:pic>
              </a:graphicData>
            </a:graphic>
          </wp:inline>
        </w:drawing>
      </w:r>
    </w:p>
    <w:p w14:paraId="25560E0E" w14:textId="0A6789FA" w:rsidR="00DD74F5" w:rsidRPr="00E332BF" w:rsidRDefault="00137BE1" w:rsidP="00137BE1">
      <w:pPr>
        <w:pStyle w:val="Title"/>
        <w:rPr>
          <w:sz w:val="28"/>
          <w:szCs w:val="28"/>
        </w:rPr>
      </w:pPr>
      <w:r>
        <w:rPr>
          <w:sz w:val="28"/>
          <w:szCs w:val="28"/>
        </w:rPr>
        <w:t xml:space="preserve">            </w:t>
      </w:r>
      <w:r w:rsidR="00E332BF" w:rsidRPr="00E332BF">
        <w:rPr>
          <w:sz w:val="28"/>
          <w:szCs w:val="28"/>
        </w:rPr>
        <w:t>Sol Price School of Public Policy</w:t>
      </w:r>
    </w:p>
    <w:p w14:paraId="14B2CF1D" w14:textId="6BAE3B3E" w:rsidR="00E332BF" w:rsidRDefault="00E332BF" w:rsidP="00E332BF">
      <w:pPr>
        <w:pStyle w:val="Heading1"/>
      </w:pPr>
      <w:r>
        <w:t>Syllabus</w:t>
      </w:r>
    </w:p>
    <w:p w14:paraId="623E9AC8" w14:textId="0B07EC2D" w:rsidR="00DD74F5" w:rsidRPr="00E332BF" w:rsidRDefault="00E332BF" w:rsidP="00E332BF">
      <w:pPr>
        <w:spacing w:before="40" w:after="40"/>
        <w:rPr>
          <w:sz w:val="28"/>
          <w:szCs w:val="28"/>
        </w:rPr>
      </w:pPr>
      <w:r w:rsidRPr="00E332BF">
        <w:rPr>
          <w:sz w:val="28"/>
          <w:szCs w:val="28"/>
        </w:rPr>
        <w:t xml:space="preserve">PPD 431 -- </w:t>
      </w:r>
      <w:r w:rsidRPr="00E332BF">
        <w:rPr>
          <w:bCs/>
          <w:sz w:val="28"/>
          <w:szCs w:val="28"/>
        </w:rPr>
        <w:t>Undergraduate Capstone Laboratory – Applied Sustainable Planning</w:t>
      </w:r>
    </w:p>
    <w:p w14:paraId="302A3CCD" w14:textId="77777777" w:rsidR="00E332BF" w:rsidRPr="00E332BF" w:rsidRDefault="00E332BF" w:rsidP="00E332BF">
      <w:pPr>
        <w:spacing w:before="0" w:after="40" w:line="240" w:lineRule="auto"/>
        <w:jc w:val="both"/>
        <w:rPr>
          <w:bCs/>
          <w:sz w:val="28"/>
          <w:szCs w:val="28"/>
        </w:rPr>
      </w:pPr>
      <w:r w:rsidRPr="00E332BF">
        <w:rPr>
          <w:bCs/>
          <w:sz w:val="28"/>
          <w:szCs w:val="28"/>
        </w:rPr>
        <w:t>Spring 2023 – Monday - Wednesday 8.00 am – 9.50 am</w:t>
      </w:r>
    </w:p>
    <w:p w14:paraId="5F6B613B" w14:textId="77777777" w:rsidR="00E332BF" w:rsidRPr="00E332BF" w:rsidRDefault="00E332BF" w:rsidP="00E332BF">
      <w:pPr>
        <w:spacing w:before="0" w:after="40" w:line="240" w:lineRule="auto"/>
        <w:jc w:val="both"/>
        <w:rPr>
          <w:bCs/>
          <w:color w:val="808080"/>
          <w:sz w:val="28"/>
          <w:szCs w:val="28"/>
        </w:rPr>
      </w:pPr>
      <w:r w:rsidRPr="00E332BF">
        <w:rPr>
          <w:bCs/>
          <w:sz w:val="28"/>
          <w:szCs w:val="28"/>
        </w:rPr>
        <w:t>Location:  VPD 110</w:t>
      </w:r>
    </w:p>
    <w:p w14:paraId="357E0FB1" w14:textId="77777777" w:rsidR="00E332BF" w:rsidRPr="00E332BF" w:rsidRDefault="00E332BF" w:rsidP="00E332BF">
      <w:pPr>
        <w:spacing w:before="0" w:after="40" w:line="240" w:lineRule="auto"/>
        <w:jc w:val="both"/>
        <w:rPr>
          <w:b/>
          <w:bCs/>
          <w:sz w:val="22"/>
          <w:szCs w:val="22"/>
        </w:rPr>
      </w:pPr>
      <w:r w:rsidRPr="00E332BF">
        <w:rPr>
          <w:b/>
          <w:bCs/>
          <w:sz w:val="22"/>
          <w:szCs w:val="22"/>
        </w:rPr>
        <w:t>Instructor:   Donald R Spivack, AICP, FRSA</w:t>
      </w:r>
    </w:p>
    <w:p w14:paraId="402CCB6C" w14:textId="77777777" w:rsidR="00E332BF" w:rsidRPr="00E332BF" w:rsidRDefault="00E332BF" w:rsidP="00E332BF">
      <w:pPr>
        <w:spacing w:before="0" w:after="40" w:line="240" w:lineRule="auto"/>
        <w:jc w:val="both"/>
        <w:rPr>
          <w:b/>
          <w:bCs/>
          <w:sz w:val="22"/>
          <w:szCs w:val="22"/>
        </w:rPr>
      </w:pPr>
      <w:r w:rsidRPr="00E332BF">
        <w:rPr>
          <w:b/>
          <w:bCs/>
          <w:sz w:val="22"/>
          <w:szCs w:val="22"/>
        </w:rPr>
        <w:t xml:space="preserve">Office: </w:t>
      </w:r>
      <w:r w:rsidRPr="00E332BF">
        <w:rPr>
          <w:bCs/>
          <w:color w:val="808080"/>
          <w:sz w:val="22"/>
          <w:szCs w:val="22"/>
        </w:rPr>
        <w:t xml:space="preserve"> </w:t>
      </w:r>
      <w:r w:rsidRPr="00E332BF">
        <w:rPr>
          <w:bCs/>
          <w:sz w:val="22"/>
          <w:szCs w:val="22"/>
        </w:rPr>
        <w:t>Adjuncts’ Office in RGL 107 if available, and via Zoom</w:t>
      </w:r>
    </w:p>
    <w:p w14:paraId="1184CB13" w14:textId="77777777" w:rsidR="00E332BF" w:rsidRPr="00E332BF" w:rsidRDefault="00E332BF" w:rsidP="00E332BF">
      <w:pPr>
        <w:spacing w:before="0" w:after="40" w:line="240" w:lineRule="auto"/>
        <w:rPr>
          <w:bCs/>
          <w:color w:val="808080"/>
          <w:sz w:val="22"/>
          <w:szCs w:val="22"/>
        </w:rPr>
      </w:pPr>
      <w:r w:rsidRPr="00E332BF">
        <w:rPr>
          <w:b/>
          <w:bCs/>
          <w:sz w:val="22"/>
          <w:szCs w:val="22"/>
        </w:rPr>
        <w:t xml:space="preserve">Office Hours: </w:t>
      </w:r>
      <w:r w:rsidRPr="00E332BF">
        <w:rPr>
          <w:bCs/>
          <w:sz w:val="22"/>
          <w:szCs w:val="22"/>
        </w:rPr>
        <w:t>By Appointment</w:t>
      </w:r>
    </w:p>
    <w:p w14:paraId="2E6F4D67" w14:textId="77777777" w:rsidR="00E332BF" w:rsidRPr="00E332BF" w:rsidRDefault="00E332BF" w:rsidP="00E332BF">
      <w:pPr>
        <w:spacing w:before="0" w:after="40" w:line="240" w:lineRule="auto"/>
        <w:jc w:val="both"/>
        <w:rPr>
          <w:b/>
          <w:bCs/>
          <w:sz w:val="22"/>
          <w:szCs w:val="22"/>
        </w:rPr>
      </w:pPr>
      <w:r w:rsidRPr="00E332BF">
        <w:rPr>
          <w:b/>
          <w:bCs/>
          <w:sz w:val="22"/>
          <w:szCs w:val="22"/>
        </w:rPr>
        <w:t xml:space="preserve">Contact Info: </w:t>
      </w:r>
      <w:hyperlink r:id="rId8" w:history="1">
        <w:r w:rsidRPr="00E332BF">
          <w:rPr>
            <w:rStyle w:val="Hyperlink"/>
            <w:b/>
            <w:bCs/>
            <w:sz w:val="22"/>
            <w:szCs w:val="22"/>
          </w:rPr>
          <w:t>spivack@usc.edu</w:t>
        </w:r>
      </w:hyperlink>
      <w:r w:rsidRPr="00E332BF">
        <w:rPr>
          <w:b/>
          <w:bCs/>
          <w:sz w:val="22"/>
          <w:szCs w:val="22"/>
        </w:rPr>
        <w:t xml:space="preserve"> </w:t>
      </w:r>
    </w:p>
    <w:p w14:paraId="775CA421" w14:textId="77777777" w:rsidR="00DD74F5" w:rsidRDefault="00DD74F5">
      <w:pPr>
        <w:tabs>
          <w:tab w:val="center" w:pos="4680"/>
          <w:tab w:val="left" w:pos="8062"/>
        </w:tabs>
        <w:rPr>
          <w:b/>
        </w:rPr>
      </w:pPr>
    </w:p>
    <w:p w14:paraId="0791B070" w14:textId="77777777" w:rsidR="00DD74F5" w:rsidRPr="00E332BF" w:rsidRDefault="001A11B3">
      <w:pPr>
        <w:pStyle w:val="Heading2"/>
        <w:rPr>
          <w:sz w:val="22"/>
          <w:szCs w:val="22"/>
        </w:rPr>
        <w:sectPr w:rsidR="00DD74F5" w:rsidRPr="00E332BF">
          <w:headerReference w:type="default" r:id="rId9"/>
          <w:footerReference w:type="even" r:id="rId10"/>
          <w:footerReference w:type="default" r:id="rId11"/>
          <w:type w:val="continuous"/>
          <w:pgSz w:w="12240" w:h="15840"/>
          <w:pgMar w:top="1440" w:right="1440" w:bottom="1440" w:left="1440" w:header="432" w:footer="720" w:gutter="0"/>
          <w:cols w:space="720"/>
          <w:titlePg/>
        </w:sectPr>
      </w:pPr>
      <w:r w:rsidRPr="00E332BF">
        <w:rPr>
          <w:sz w:val="22"/>
          <w:szCs w:val="22"/>
        </w:rPr>
        <w:t>COURSE OVERVIEW</w:t>
      </w:r>
    </w:p>
    <w:p w14:paraId="7B2A5C46" w14:textId="77777777" w:rsidR="00DD74F5" w:rsidRPr="00E332BF" w:rsidRDefault="001A11B3">
      <w:pPr>
        <w:pStyle w:val="Heading3"/>
        <w:rPr>
          <w:sz w:val="22"/>
          <w:szCs w:val="22"/>
        </w:rPr>
      </w:pPr>
      <w:r w:rsidRPr="00E332BF">
        <w:rPr>
          <w:sz w:val="22"/>
          <w:szCs w:val="22"/>
        </w:rPr>
        <w:t>COURSE DESCRIPTION</w:t>
      </w:r>
    </w:p>
    <w:p w14:paraId="02CACC78" w14:textId="1B4A15E3" w:rsidR="00E332BF" w:rsidRPr="00E332BF" w:rsidRDefault="00E332BF" w:rsidP="00931825">
      <w:pPr>
        <w:widowControl w:val="0"/>
        <w:autoSpaceDE w:val="0"/>
        <w:autoSpaceDN w:val="0"/>
        <w:adjustRightInd w:val="0"/>
        <w:spacing w:before="0" w:after="40"/>
        <w:jc w:val="both"/>
        <w:rPr>
          <w:rFonts w:cs="Arial"/>
          <w:sz w:val="22"/>
          <w:szCs w:val="22"/>
        </w:rPr>
      </w:pPr>
      <w:r w:rsidRPr="00E332BF">
        <w:rPr>
          <w:rFonts w:cs="Arial"/>
          <w:sz w:val="22"/>
          <w:szCs w:val="22"/>
        </w:rPr>
        <w:t>This Undergraduate Laboratory provides students an opportunity to apply prior and current course studies in planning, policy, health</w:t>
      </w:r>
      <w:r w:rsidR="00E172DE">
        <w:rPr>
          <w:rFonts w:cs="Arial"/>
          <w:sz w:val="22"/>
          <w:szCs w:val="22"/>
        </w:rPr>
        <w:t>,</w:t>
      </w:r>
      <w:r w:rsidRPr="00E332BF">
        <w:rPr>
          <w:rFonts w:cs="Arial"/>
          <w:sz w:val="22"/>
          <w:szCs w:val="22"/>
        </w:rPr>
        <w:t xml:space="preserve"> real </w:t>
      </w:r>
      <w:proofErr w:type="gramStart"/>
      <w:r w:rsidRPr="00E332BF">
        <w:rPr>
          <w:rFonts w:cs="Arial"/>
          <w:sz w:val="22"/>
          <w:szCs w:val="22"/>
        </w:rPr>
        <w:t>estate</w:t>
      </w:r>
      <w:proofErr w:type="gramEnd"/>
      <w:r w:rsidRPr="00E332BF">
        <w:rPr>
          <w:rFonts w:cs="Arial"/>
          <w:sz w:val="22"/>
          <w:szCs w:val="22"/>
        </w:rPr>
        <w:t xml:space="preserve"> and related fields to real world situations. The applied portion of the course focuses on preparing (in teams) a sustainable development plan and program for a specific community and (individually) drafting a policy, program, paper or site proposal geared to the student’s area of concentration (further discussed below).  </w:t>
      </w:r>
    </w:p>
    <w:p w14:paraId="3912C573" w14:textId="4F34D450" w:rsidR="00E332BF" w:rsidRPr="00E332BF" w:rsidRDefault="00E332BF" w:rsidP="00931825">
      <w:pPr>
        <w:widowControl w:val="0"/>
        <w:autoSpaceDE w:val="0"/>
        <w:autoSpaceDN w:val="0"/>
        <w:adjustRightInd w:val="0"/>
        <w:spacing w:before="0" w:after="40"/>
        <w:jc w:val="both"/>
        <w:rPr>
          <w:rFonts w:cs="Arial"/>
          <w:sz w:val="22"/>
          <w:szCs w:val="22"/>
        </w:rPr>
      </w:pPr>
      <w:r w:rsidRPr="00E332BF">
        <w:rPr>
          <w:rFonts w:cs="Arial"/>
          <w:sz w:val="22"/>
          <w:szCs w:val="22"/>
        </w:rPr>
        <w:t>The class includes lectures, slide decks of which are posted on Blackboard, discussions, short written assignments to develop writing skills, group presentations to develop public speaking skills and the development laboratory</w:t>
      </w:r>
      <w:r w:rsidRPr="00E332BF">
        <w:rPr>
          <w:bCs/>
          <w:color w:val="808080"/>
          <w:sz w:val="22"/>
          <w:szCs w:val="22"/>
        </w:rPr>
        <w:t xml:space="preserve">. </w:t>
      </w:r>
      <w:r w:rsidRPr="00E332BF">
        <w:rPr>
          <w:rFonts w:cs="Arial"/>
          <w:sz w:val="22"/>
          <w:szCs w:val="22"/>
        </w:rPr>
        <w:t xml:space="preserve">Class lectures, discussions, readings and exercises provide background on the forces that affect urban and regional growth, development and decline, including historic policies that </w:t>
      </w:r>
      <w:r w:rsidR="00137BE1">
        <w:rPr>
          <w:rFonts w:cs="Arial"/>
          <w:sz w:val="22"/>
          <w:szCs w:val="22"/>
        </w:rPr>
        <w:t>impac</w:t>
      </w:r>
      <w:r w:rsidRPr="00E332BF">
        <w:rPr>
          <w:rFonts w:cs="Arial"/>
          <w:sz w:val="22"/>
          <w:szCs w:val="22"/>
        </w:rPr>
        <w:t>ted especially lower income communities and communities of color; and on mechanisms to address these forces in both the private and public sectors.</w:t>
      </w:r>
    </w:p>
    <w:p w14:paraId="202DACEA" w14:textId="77777777" w:rsidR="00E332BF" w:rsidRPr="00E332BF" w:rsidRDefault="00E332BF" w:rsidP="00931825">
      <w:pPr>
        <w:widowControl w:val="0"/>
        <w:autoSpaceDE w:val="0"/>
        <w:autoSpaceDN w:val="0"/>
        <w:adjustRightInd w:val="0"/>
        <w:spacing w:before="0" w:after="40"/>
        <w:jc w:val="both"/>
        <w:rPr>
          <w:rFonts w:cs="Arial"/>
          <w:sz w:val="22"/>
          <w:szCs w:val="22"/>
        </w:rPr>
      </w:pPr>
      <w:r w:rsidRPr="00E332BF">
        <w:rPr>
          <w:rFonts w:cs="Arial"/>
          <w:sz w:val="22"/>
          <w:szCs w:val="22"/>
        </w:rPr>
        <w:t>The focus of the course is sustainable planning and development, which embraces:</w:t>
      </w:r>
    </w:p>
    <w:p w14:paraId="134F5937" w14:textId="77DC935F" w:rsidR="00E332BF" w:rsidRPr="00E332BF" w:rsidRDefault="00E332BF" w:rsidP="00BC2A13">
      <w:pPr>
        <w:pStyle w:val="ListParagraph"/>
        <w:widowControl w:val="0"/>
        <w:numPr>
          <w:ilvl w:val="0"/>
          <w:numId w:val="3"/>
        </w:numPr>
        <w:autoSpaceDE w:val="0"/>
        <w:autoSpaceDN w:val="0"/>
        <w:adjustRightInd w:val="0"/>
        <w:spacing w:after="40" w:line="276" w:lineRule="auto"/>
        <w:jc w:val="both"/>
        <w:rPr>
          <w:rFonts w:ascii="Calibri" w:hAnsi="Calibri" w:cs="Arial"/>
          <w:sz w:val="22"/>
          <w:szCs w:val="22"/>
        </w:rPr>
      </w:pPr>
      <w:r w:rsidRPr="00E332BF">
        <w:rPr>
          <w:rFonts w:ascii="Calibri" w:hAnsi="Calibri" w:cs="Arial"/>
          <w:sz w:val="22"/>
          <w:szCs w:val="22"/>
        </w:rPr>
        <w:t xml:space="preserve">Determining the needs and desires of a broad range of stakeholders, including those less likely to participate in the planning and development process, </w:t>
      </w:r>
    </w:p>
    <w:p w14:paraId="661E3C0A" w14:textId="0D5152B5" w:rsidR="00E332BF" w:rsidRPr="00E332BF" w:rsidRDefault="00E332BF" w:rsidP="00BC2A13">
      <w:pPr>
        <w:pStyle w:val="ListParagraph"/>
        <w:widowControl w:val="0"/>
        <w:numPr>
          <w:ilvl w:val="0"/>
          <w:numId w:val="3"/>
        </w:numPr>
        <w:autoSpaceDE w:val="0"/>
        <w:autoSpaceDN w:val="0"/>
        <w:adjustRightInd w:val="0"/>
        <w:spacing w:after="40" w:line="276" w:lineRule="auto"/>
        <w:jc w:val="both"/>
        <w:rPr>
          <w:rFonts w:ascii="Calibri" w:hAnsi="Calibri" w:cs="Arial"/>
          <w:sz w:val="22"/>
          <w:szCs w:val="22"/>
        </w:rPr>
      </w:pPr>
      <w:r w:rsidRPr="00E332BF">
        <w:rPr>
          <w:rFonts w:ascii="Calibri" w:hAnsi="Calibri" w:cs="Arial"/>
          <w:sz w:val="22"/>
          <w:szCs w:val="22"/>
        </w:rPr>
        <w:t xml:space="preserve">Analyzing an area’s realistic ability to attract and support investment, including those derived from stakeholder-based stated needs and desires and from basic market analysis of demand and available community spending power, </w:t>
      </w:r>
    </w:p>
    <w:p w14:paraId="30F23A27" w14:textId="6BB1C037" w:rsidR="00E332BF" w:rsidRPr="00E332BF" w:rsidRDefault="00E332BF" w:rsidP="00BC2A13">
      <w:pPr>
        <w:pStyle w:val="ListParagraph"/>
        <w:widowControl w:val="0"/>
        <w:numPr>
          <w:ilvl w:val="0"/>
          <w:numId w:val="3"/>
        </w:numPr>
        <w:autoSpaceDE w:val="0"/>
        <w:autoSpaceDN w:val="0"/>
        <w:adjustRightInd w:val="0"/>
        <w:spacing w:after="40" w:line="276" w:lineRule="auto"/>
        <w:jc w:val="both"/>
        <w:rPr>
          <w:rFonts w:ascii="Calibri" w:hAnsi="Calibri" w:cs="Arial"/>
          <w:sz w:val="22"/>
          <w:szCs w:val="22"/>
        </w:rPr>
      </w:pPr>
      <w:r w:rsidRPr="00E332BF">
        <w:rPr>
          <w:rFonts w:ascii="Calibri" w:hAnsi="Calibri" w:cs="Arial"/>
          <w:sz w:val="22"/>
          <w:szCs w:val="22"/>
        </w:rPr>
        <w:t>Exploring forces that affect investment decision-making from both private and public sector perspectives,</w:t>
      </w:r>
    </w:p>
    <w:p w14:paraId="57ADC0EF" w14:textId="39AFC2D5" w:rsidR="00E332BF" w:rsidRPr="00E332BF" w:rsidRDefault="00E332BF" w:rsidP="00BC2A13">
      <w:pPr>
        <w:pStyle w:val="ListParagraph"/>
        <w:widowControl w:val="0"/>
        <w:numPr>
          <w:ilvl w:val="0"/>
          <w:numId w:val="3"/>
        </w:numPr>
        <w:autoSpaceDE w:val="0"/>
        <w:autoSpaceDN w:val="0"/>
        <w:adjustRightInd w:val="0"/>
        <w:spacing w:after="40" w:line="276" w:lineRule="auto"/>
        <w:jc w:val="both"/>
        <w:rPr>
          <w:rFonts w:ascii="Calibri" w:hAnsi="Calibri" w:cs="Arial"/>
          <w:sz w:val="22"/>
          <w:szCs w:val="22"/>
        </w:rPr>
      </w:pPr>
      <w:r w:rsidRPr="00E332BF">
        <w:rPr>
          <w:rFonts w:ascii="Calibri" w:hAnsi="Calibri" w:cs="Arial"/>
          <w:sz w:val="22"/>
          <w:szCs w:val="22"/>
        </w:rPr>
        <w:t xml:space="preserve">Examining how various interventions can attract desired development and "bend the market," while seeking to control issues such as </w:t>
      </w:r>
      <w:r w:rsidR="00137BE1">
        <w:rPr>
          <w:rFonts w:ascii="Calibri" w:hAnsi="Calibri" w:cs="Arial"/>
          <w:sz w:val="22"/>
          <w:szCs w:val="22"/>
        </w:rPr>
        <w:t xml:space="preserve">adverse impacts of </w:t>
      </w:r>
      <w:r w:rsidRPr="00E332BF">
        <w:rPr>
          <w:rFonts w:ascii="Calibri" w:hAnsi="Calibri" w:cs="Arial"/>
          <w:sz w:val="22"/>
          <w:szCs w:val="22"/>
        </w:rPr>
        <w:t>potential gentrification,</w:t>
      </w:r>
    </w:p>
    <w:p w14:paraId="44703889" w14:textId="77777777" w:rsidR="00137BE1" w:rsidRDefault="00E332BF" w:rsidP="00BC2A13">
      <w:pPr>
        <w:pStyle w:val="ListParagraph"/>
        <w:widowControl w:val="0"/>
        <w:numPr>
          <w:ilvl w:val="0"/>
          <w:numId w:val="3"/>
        </w:numPr>
        <w:autoSpaceDE w:val="0"/>
        <w:autoSpaceDN w:val="0"/>
        <w:adjustRightInd w:val="0"/>
        <w:spacing w:after="40" w:line="276" w:lineRule="auto"/>
        <w:jc w:val="both"/>
        <w:rPr>
          <w:rFonts w:ascii="Calibri" w:hAnsi="Calibri" w:cs="Arial"/>
          <w:sz w:val="22"/>
          <w:szCs w:val="22"/>
        </w:rPr>
      </w:pPr>
      <w:r w:rsidRPr="00E332BF">
        <w:rPr>
          <w:rFonts w:ascii="Calibri" w:hAnsi="Calibri" w:cs="Arial"/>
          <w:sz w:val="22"/>
          <w:szCs w:val="22"/>
        </w:rPr>
        <w:lastRenderedPageBreak/>
        <w:t xml:space="preserve">Identifying mechanisms to better the lives and livelihoods of stakeholders, mitigating adverse impacts, and </w:t>
      </w:r>
    </w:p>
    <w:p w14:paraId="3FCF77B3" w14:textId="69DFC71E" w:rsidR="00E332BF" w:rsidRPr="00E332BF" w:rsidRDefault="00137BE1" w:rsidP="00BC2A13">
      <w:pPr>
        <w:pStyle w:val="ListParagraph"/>
        <w:widowControl w:val="0"/>
        <w:numPr>
          <w:ilvl w:val="0"/>
          <w:numId w:val="3"/>
        </w:numPr>
        <w:autoSpaceDE w:val="0"/>
        <w:autoSpaceDN w:val="0"/>
        <w:adjustRightInd w:val="0"/>
        <w:spacing w:after="40" w:line="276" w:lineRule="auto"/>
        <w:jc w:val="both"/>
        <w:rPr>
          <w:rFonts w:ascii="Calibri" w:hAnsi="Calibri" w:cs="Arial"/>
          <w:sz w:val="22"/>
          <w:szCs w:val="22"/>
        </w:rPr>
      </w:pPr>
      <w:r>
        <w:rPr>
          <w:rFonts w:ascii="Calibri" w:hAnsi="Calibri" w:cs="Arial"/>
          <w:sz w:val="22"/>
          <w:szCs w:val="22"/>
        </w:rPr>
        <w:t>E</w:t>
      </w:r>
      <w:r w:rsidR="00E332BF" w:rsidRPr="00E332BF">
        <w:rPr>
          <w:rFonts w:ascii="Calibri" w:hAnsi="Calibri" w:cs="Arial"/>
          <w:sz w:val="22"/>
          <w:szCs w:val="22"/>
        </w:rPr>
        <w:t>mbracing elements of environmental and social justice</w:t>
      </w:r>
      <w:r w:rsidR="00E172DE">
        <w:rPr>
          <w:rFonts w:ascii="Calibri" w:hAnsi="Calibri" w:cs="Arial"/>
          <w:sz w:val="22"/>
          <w:szCs w:val="22"/>
        </w:rPr>
        <w:t>, equity,</w:t>
      </w:r>
      <w:r w:rsidR="00E332BF" w:rsidRPr="00E332BF">
        <w:rPr>
          <w:rFonts w:ascii="Calibri" w:hAnsi="Calibri" w:cs="Arial"/>
          <w:sz w:val="22"/>
          <w:szCs w:val="22"/>
        </w:rPr>
        <w:t xml:space="preserve"> sustainability and resilience into the planning and development process while still making development economically viable. </w:t>
      </w:r>
    </w:p>
    <w:p w14:paraId="152FF6EE" w14:textId="0DD288CF" w:rsidR="00E332BF" w:rsidRPr="00E332BF" w:rsidRDefault="00E332BF" w:rsidP="00931825">
      <w:pPr>
        <w:widowControl w:val="0"/>
        <w:autoSpaceDE w:val="0"/>
        <w:autoSpaceDN w:val="0"/>
        <w:adjustRightInd w:val="0"/>
        <w:spacing w:before="0" w:after="40"/>
        <w:jc w:val="both"/>
        <w:rPr>
          <w:rFonts w:cs="Arial"/>
          <w:sz w:val="22"/>
          <w:szCs w:val="22"/>
        </w:rPr>
      </w:pPr>
      <w:r w:rsidRPr="00E332BF">
        <w:rPr>
          <w:rFonts w:cs="Arial"/>
          <w:sz w:val="22"/>
          <w:szCs w:val="22"/>
        </w:rPr>
        <w:t>Target areas for the team projects may be proposed by class members and would be subject to the proposer being able to provide access to appropriate data. When classes are held on campus, preferred target areas are in and near Central and South Los Angeles. These areas contain physical, social and economic conditions including freeways, which (while they provide for person and goods movement) are major sources of air pollution</w:t>
      </w:r>
      <w:r w:rsidR="00137BE1">
        <w:rPr>
          <w:rFonts w:cs="Arial"/>
          <w:sz w:val="22"/>
          <w:szCs w:val="22"/>
        </w:rPr>
        <w:t xml:space="preserve"> and create physical barriers to local movement</w:t>
      </w:r>
      <w:r w:rsidRPr="00E332BF">
        <w:rPr>
          <w:rFonts w:cs="Arial"/>
          <w:sz w:val="22"/>
          <w:szCs w:val="22"/>
        </w:rPr>
        <w:t>; transit station locations where the City seeks transit-oriented</w:t>
      </w:r>
      <w:r w:rsidR="00137BE1">
        <w:rPr>
          <w:rFonts w:cs="Arial"/>
          <w:sz w:val="22"/>
          <w:szCs w:val="22"/>
        </w:rPr>
        <w:t xml:space="preserve"> </w:t>
      </w:r>
      <w:r w:rsidRPr="00E332BF">
        <w:rPr>
          <w:rFonts w:cs="Arial"/>
          <w:sz w:val="22"/>
          <w:szCs w:val="22"/>
        </w:rPr>
        <w:t xml:space="preserve">development; the Figueroa Corridor, a key link between downtown and lower income communities of color; the University of Southern California and its surrounding communities and Historic South Los Angeles.  </w:t>
      </w:r>
    </w:p>
    <w:p w14:paraId="6C20C753" w14:textId="77777777" w:rsidR="00E332BF" w:rsidRPr="00E332BF" w:rsidRDefault="00E332BF" w:rsidP="00931825">
      <w:pPr>
        <w:widowControl w:val="0"/>
        <w:autoSpaceDE w:val="0"/>
        <w:autoSpaceDN w:val="0"/>
        <w:adjustRightInd w:val="0"/>
        <w:spacing w:before="0" w:after="40"/>
        <w:jc w:val="both"/>
        <w:rPr>
          <w:rFonts w:cs="Arial"/>
          <w:sz w:val="22"/>
          <w:szCs w:val="22"/>
        </w:rPr>
      </w:pPr>
      <w:r w:rsidRPr="00E332BF">
        <w:rPr>
          <w:rFonts w:cs="Arial"/>
          <w:sz w:val="22"/>
          <w:szCs w:val="22"/>
        </w:rPr>
        <w:t>To make for a meaningful planning exercise, target areas should be in the range of not less than ½ to 1 square mile in area, contain a mix of commercial, residential and, where possible, light industrial uses, and exhibit sub-areas of potential or actual growth as well as sub-areas with a mix of urban physical, social, environmental, economic and/or health issues needing to be addressed.</w:t>
      </w:r>
    </w:p>
    <w:p w14:paraId="408BA434" w14:textId="60D71835" w:rsidR="00E332BF" w:rsidRDefault="00E332BF" w:rsidP="00931825">
      <w:pPr>
        <w:widowControl w:val="0"/>
        <w:autoSpaceDE w:val="0"/>
        <w:autoSpaceDN w:val="0"/>
        <w:adjustRightInd w:val="0"/>
        <w:spacing w:before="0" w:after="40"/>
        <w:jc w:val="both"/>
        <w:rPr>
          <w:rFonts w:cs="Arial"/>
          <w:sz w:val="22"/>
          <w:szCs w:val="22"/>
        </w:rPr>
      </w:pPr>
      <w:r w:rsidRPr="00E332BF">
        <w:rPr>
          <w:rFonts w:cs="Arial"/>
          <w:sz w:val="22"/>
          <w:szCs w:val="22"/>
        </w:rPr>
        <w:t xml:space="preserve">The first portion of the semester involves studying planning policies and regulatory procedures; market and related analytical processes; and the specific roles that transportation, housing, health, sustainability and open space play in urban development. Community makeup and built form; market environment; opportunities and constraints; and the process for establishing an overall vision and conceptual plan are explored and applied; culminating in an issues analysis, </w:t>
      </w:r>
      <w:proofErr w:type="gramStart"/>
      <w:r w:rsidRPr="00E332BF">
        <w:rPr>
          <w:rFonts w:cs="Arial"/>
          <w:sz w:val="22"/>
          <w:szCs w:val="22"/>
        </w:rPr>
        <w:t>vision</w:t>
      </w:r>
      <w:proofErr w:type="gramEnd"/>
      <w:r w:rsidRPr="00E332BF">
        <w:rPr>
          <w:rFonts w:cs="Arial"/>
          <w:sz w:val="22"/>
          <w:szCs w:val="22"/>
        </w:rPr>
        <w:t xml:space="preserve"> and conceptual plan for each team’s selected geography. Students will, in the second half of the semester, carry that vision into a proposed development plan and program and recommended actions to implement key elements of the conceptual plan. In addition, students will individually prepare a policy paper, work plan or a development proposal focusing on the student’s chosen area of concentration. It is often beneficial to draw the paper or project from the same geography analyzed by the team given that data are already being collected for that area.  </w:t>
      </w:r>
    </w:p>
    <w:p w14:paraId="1058B8B7" w14:textId="77777777" w:rsidR="00DD74F5" w:rsidRDefault="00137BE1" w:rsidP="00137BE1">
      <w:pPr>
        <w:widowControl w:val="0"/>
        <w:autoSpaceDE w:val="0"/>
        <w:autoSpaceDN w:val="0"/>
        <w:adjustRightInd w:val="0"/>
        <w:spacing w:before="0" w:after="40"/>
        <w:jc w:val="both"/>
        <w:rPr>
          <w:color w:val="000000"/>
          <w:sz w:val="22"/>
          <w:szCs w:val="22"/>
        </w:rPr>
      </w:pPr>
      <w:r>
        <w:rPr>
          <w:rFonts w:cs="Arial"/>
          <w:sz w:val="22"/>
          <w:szCs w:val="22"/>
        </w:rPr>
        <w:t>The course does have a final examination to review major concepts and demonstrate the ability to apply material in the course to a series of questions and scenarios.</w:t>
      </w:r>
      <w:r w:rsidR="001A11B3" w:rsidRPr="00E332BF">
        <w:rPr>
          <w:color w:val="000000"/>
          <w:sz w:val="22"/>
          <w:szCs w:val="22"/>
        </w:rPr>
        <w:t xml:space="preserve"> </w:t>
      </w:r>
    </w:p>
    <w:p w14:paraId="10D9D02A" w14:textId="77777777" w:rsidR="004825AD" w:rsidRDefault="004825AD" w:rsidP="00137BE1">
      <w:pPr>
        <w:widowControl w:val="0"/>
        <w:autoSpaceDE w:val="0"/>
        <w:autoSpaceDN w:val="0"/>
        <w:adjustRightInd w:val="0"/>
        <w:spacing w:before="0" w:after="40"/>
        <w:jc w:val="both"/>
        <w:rPr>
          <w:color w:val="000000"/>
          <w:sz w:val="22"/>
          <w:szCs w:val="22"/>
        </w:rPr>
      </w:pPr>
    </w:p>
    <w:p w14:paraId="2915FC8B" w14:textId="26EDEE40" w:rsidR="004825AD" w:rsidRPr="00E332BF" w:rsidRDefault="004825AD" w:rsidP="00137BE1">
      <w:pPr>
        <w:widowControl w:val="0"/>
        <w:autoSpaceDE w:val="0"/>
        <w:autoSpaceDN w:val="0"/>
        <w:adjustRightInd w:val="0"/>
        <w:spacing w:before="0" w:after="40"/>
        <w:jc w:val="both"/>
        <w:rPr>
          <w:color w:val="000000"/>
          <w:sz w:val="22"/>
          <w:szCs w:val="22"/>
        </w:rPr>
        <w:sectPr w:rsidR="004825AD" w:rsidRPr="00E332BF">
          <w:type w:val="continuous"/>
          <w:pgSz w:w="12240" w:h="15840"/>
          <w:pgMar w:top="1440" w:right="1440" w:bottom="1440" w:left="1440" w:header="432" w:footer="720" w:gutter="0"/>
          <w:cols w:space="720"/>
          <w:titlePg/>
        </w:sectPr>
      </w:pPr>
    </w:p>
    <w:p w14:paraId="36540AE3" w14:textId="77777777" w:rsidR="00DD74F5" w:rsidRPr="00E332BF" w:rsidRDefault="001A11B3">
      <w:pPr>
        <w:pStyle w:val="Heading3"/>
        <w:rPr>
          <w:sz w:val="22"/>
          <w:szCs w:val="22"/>
        </w:rPr>
      </w:pPr>
      <w:r w:rsidRPr="00E332BF">
        <w:rPr>
          <w:sz w:val="22"/>
          <w:szCs w:val="22"/>
        </w:rPr>
        <w:lastRenderedPageBreak/>
        <w:t>COURSE LEARNING OBJECTIVES</w:t>
      </w:r>
    </w:p>
    <w:p w14:paraId="36B5B8F7" w14:textId="4851A370" w:rsidR="00E332BF" w:rsidRDefault="00E332BF" w:rsidP="00931825">
      <w:pPr>
        <w:suppressAutoHyphens/>
        <w:spacing w:before="0" w:after="40"/>
        <w:jc w:val="both"/>
        <w:rPr>
          <w:rFonts w:cs="Arial"/>
          <w:color w:val="000000"/>
          <w:sz w:val="22"/>
          <w:szCs w:val="22"/>
        </w:rPr>
      </w:pPr>
      <w:r w:rsidRPr="00586332">
        <w:rPr>
          <w:rFonts w:cs="Arial"/>
          <w:color w:val="000000"/>
          <w:sz w:val="22"/>
          <w:szCs w:val="22"/>
        </w:rPr>
        <w:t>This course provi</w:t>
      </w:r>
      <w:r>
        <w:rPr>
          <w:rFonts w:cs="Arial"/>
          <w:color w:val="000000"/>
          <w:sz w:val="22"/>
          <w:szCs w:val="22"/>
        </w:rPr>
        <w:t xml:space="preserve">des broad exposure to applying </w:t>
      </w:r>
      <w:r w:rsidRPr="00586332">
        <w:rPr>
          <w:rFonts w:cs="Arial"/>
          <w:color w:val="000000"/>
          <w:sz w:val="22"/>
          <w:szCs w:val="22"/>
        </w:rPr>
        <w:t xml:space="preserve">principles of planning and </w:t>
      </w:r>
      <w:r>
        <w:rPr>
          <w:rFonts w:cs="Arial"/>
          <w:color w:val="000000"/>
          <w:sz w:val="22"/>
          <w:szCs w:val="22"/>
        </w:rPr>
        <w:t>development, focused on</w:t>
      </w:r>
      <w:r w:rsidRPr="00586332">
        <w:rPr>
          <w:rFonts w:cs="Arial"/>
          <w:color w:val="000000"/>
          <w:sz w:val="22"/>
          <w:szCs w:val="22"/>
        </w:rPr>
        <w:t xml:space="preserve"> </w:t>
      </w:r>
      <w:r w:rsidR="00931825">
        <w:rPr>
          <w:rFonts w:cs="Arial"/>
          <w:color w:val="000000"/>
          <w:sz w:val="22"/>
          <w:szCs w:val="22"/>
        </w:rPr>
        <w:t xml:space="preserve">(1) </w:t>
      </w:r>
      <w:r>
        <w:rPr>
          <w:rFonts w:cs="Arial"/>
          <w:color w:val="000000"/>
          <w:sz w:val="22"/>
          <w:szCs w:val="22"/>
        </w:rPr>
        <w:t xml:space="preserve">sustainable, </w:t>
      </w:r>
      <w:r w:rsidRPr="00586332">
        <w:rPr>
          <w:rFonts w:cs="Arial"/>
          <w:color w:val="000000"/>
          <w:sz w:val="22"/>
          <w:szCs w:val="22"/>
        </w:rPr>
        <w:t xml:space="preserve">mixed-use and </w:t>
      </w:r>
      <w:r>
        <w:rPr>
          <w:rFonts w:cs="Arial"/>
          <w:color w:val="000000"/>
          <w:sz w:val="22"/>
          <w:szCs w:val="22"/>
        </w:rPr>
        <w:t>program or project implementation and</w:t>
      </w:r>
      <w:r w:rsidR="00931825">
        <w:rPr>
          <w:rFonts w:cs="Arial"/>
          <w:color w:val="000000"/>
          <w:sz w:val="22"/>
          <w:szCs w:val="22"/>
        </w:rPr>
        <w:t xml:space="preserve"> (2)</w:t>
      </w:r>
      <w:r>
        <w:rPr>
          <w:rFonts w:cs="Arial"/>
          <w:color w:val="000000"/>
          <w:sz w:val="22"/>
          <w:szCs w:val="22"/>
        </w:rPr>
        <w:t xml:space="preserve"> building healthier </w:t>
      </w:r>
      <w:r w:rsidR="00931825">
        <w:rPr>
          <w:rFonts w:cs="Arial"/>
          <w:color w:val="000000"/>
          <w:sz w:val="22"/>
          <w:szCs w:val="22"/>
        </w:rPr>
        <w:t xml:space="preserve">and more resilient </w:t>
      </w:r>
      <w:r>
        <w:rPr>
          <w:rFonts w:cs="Arial"/>
          <w:color w:val="000000"/>
          <w:sz w:val="22"/>
          <w:szCs w:val="22"/>
        </w:rPr>
        <w:t xml:space="preserve">places. </w:t>
      </w:r>
      <w:r w:rsidRPr="00586332">
        <w:rPr>
          <w:rFonts w:cs="Arial"/>
          <w:color w:val="000000"/>
          <w:sz w:val="22"/>
          <w:szCs w:val="22"/>
        </w:rPr>
        <w:t xml:space="preserve">This course </w:t>
      </w:r>
      <w:r>
        <w:rPr>
          <w:rFonts w:cs="Arial"/>
          <w:color w:val="000000"/>
          <w:sz w:val="22"/>
          <w:szCs w:val="22"/>
        </w:rPr>
        <w:t>covers</w:t>
      </w:r>
      <w:r w:rsidRPr="00586332">
        <w:rPr>
          <w:rFonts w:cs="Arial"/>
          <w:color w:val="000000"/>
          <w:sz w:val="22"/>
          <w:szCs w:val="22"/>
        </w:rPr>
        <w:t xml:space="preserve"> fundamental concepts and analytical methods used in making investment decisions </w:t>
      </w:r>
      <w:r>
        <w:rPr>
          <w:rFonts w:cs="Arial"/>
          <w:color w:val="000000"/>
          <w:sz w:val="22"/>
          <w:szCs w:val="22"/>
        </w:rPr>
        <w:t xml:space="preserve">from the perspectives of both </w:t>
      </w:r>
      <w:r w:rsidR="00137BE1">
        <w:rPr>
          <w:rFonts w:cs="Arial"/>
          <w:color w:val="000000"/>
          <w:sz w:val="22"/>
          <w:szCs w:val="22"/>
        </w:rPr>
        <w:t xml:space="preserve">private </w:t>
      </w:r>
      <w:r>
        <w:rPr>
          <w:rFonts w:cs="Arial"/>
          <w:color w:val="000000"/>
          <w:sz w:val="22"/>
          <w:szCs w:val="22"/>
        </w:rPr>
        <w:t>developers and a municipality, and how developers, investors, community organizations and the public sector can use land use and other policies to generate resources, address historic environmental and social justice issues and enhance health</w:t>
      </w:r>
      <w:r w:rsidR="00137BE1">
        <w:rPr>
          <w:rFonts w:cs="Arial"/>
          <w:color w:val="000000"/>
          <w:sz w:val="22"/>
          <w:szCs w:val="22"/>
        </w:rPr>
        <w:t>,</w:t>
      </w:r>
      <w:r>
        <w:rPr>
          <w:rFonts w:cs="Arial"/>
          <w:color w:val="000000"/>
          <w:sz w:val="22"/>
          <w:szCs w:val="22"/>
        </w:rPr>
        <w:t xml:space="preserve"> livability</w:t>
      </w:r>
      <w:r w:rsidR="00137BE1">
        <w:rPr>
          <w:rFonts w:cs="Arial"/>
          <w:color w:val="000000"/>
          <w:sz w:val="22"/>
          <w:szCs w:val="22"/>
        </w:rPr>
        <w:t xml:space="preserve"> and equity</w:t>
      </w:r>
      <w:r w:rsidRPr="00586332">
        <w:rPr>
          <w:rFonts w:cs="Arial"/>
          <w:color w:val="000000"/>
          <w:sz w:val="22"/>
          <w:szCs w:val="22"/>
        </w:rPr>
        <w:t xml:space="preserve">. </w:t>
      </w:r>
    </w:p>
    <w:p w14:paraId="7485B903" w14:textId="77777777" w:rsidR="00E332BF" w:rsidRPr="00586332" w:rsidRDefault="00E332BF" w:rsidP="00931825">
      <w:pPr>
        <w:pStyle w:val="BodyText"/>
        <w:spacing w:after="40" w:line="276" w:lineRule="auto"/>
        <w:jc w:val="both"/>
        <w:rPr>
          <w:rFonts w:ascii="Calibri" w:hAnsi="Calibri" w:cs="Arial"/>
          <w:szCs w:val="22"/>
        </w:rPr>
      </w:pPr>
      <w:r w:rsidRPr="00586332">
        <w:rPr>
          <w:rFonts w:ascii="Calibri" w:hAnsi="Calibri" w:cs="Arial"/>
          <w:szCs w:val="22"/>
        </w:rPr>
        <w:t>At the conclusion of the course, students should</w:t>
      </w:r>
      <w:r>
        <w:rPr>
          <w:rFonts w:ascii="Calibri" w:hAnsi="Calibri" w:cs="Arial"/>
          <w:szCs w:val="22"/>
        </w:rPr>
        <w:t xml:space="preserve"> have a fuller understanding of</w:t>
      </w:r>
      <w:r w:rsidRPr="00586332">
        <w:rPr>
          <w:rFonts w:ascii="Calibri" w:hAnsi="Calibri" w:cs="Arial"/>
          <w:szCs w:val="22"/>
        </w:rPr>
        <w:t>:</w:t>
      </w:r>
    </w:p>
    <w:p w14:paraId="4917ADC3" w14:textId="77777777" w:rsidR="00E332BF" w:rsidRPr="00BB68B7" w:rsidRDefault="00E332BF" w:rsidP="00BC2A13">
      <w:pPr>
        <w:pStyle w:val="BodyText"/>
        <w:numPr>
          <w:ilvl w:val="0"/>
          <w:numId w:val="4"/>
        </w:numPr>
        <w:spacing w:after="40" w:line="276" w:lineRule="auto"/>
        <w:jc w:val="both"/>
        <w:rPr>
          <w:rFonts w:ascii="Calibri" w:hAnsi="Calibri" w:cs="Arial"/>
          <w:szCs w:val="22"/>
        </w:rPr>
      </w:pPr>
      <w:r>
        <w:rPr>
          <w:rFonts w:ascii="Calibri" w:hAnsi="Calibri" w:cs="Arial"/>
          <w:szCs w:val="22"/>
        </w:rPr>
        <w:t>T</w:t>
      </w:r>
      <w:r w:rsidRPr="00586332">
        <w:rPr>
          <w:rFonts w:ascii="Calibri" w:hAnsi="Calibri" w:cs="Arial"/>
          <w:szCs w:val="22"/>
        </w:rPr>
        <w:t>he planning process,</w:t>
      </w:r>
      <w:r>
        <w:rPr>
          <w:rFonts w:ascii="Calibri" w:hAnsi="Calibri" w:cs="Arial"/>
          <w:szCs w:val="22"/>
        </w:rPr>
        <w:t xml:space="preserve"> including land use, infrastructure, open space, transportation and circulation plans, zoning and other regulations that affect and direct development,</w:t>
      </w:r>
    </w:p>
    <w:p w14:paraId="2C71ED7B" w14:textId="77777777" w:rsidR="00E332BF" w:rsidRPr="00BB68B7" w:rsidRDefault="00E332BF" w:rsidP="00BC2A13">
      <w:pPr>
        <w:pStyle w:val="BodyText"/>
        <w:numPr>
          <w:ilvl w:val="0"/>
          <w:numId w:val="4"/>
        </w:numPr>
        <w:spacing w:after="40" w:line="276" w:lineRule="auto"/>
        <w:jc w:val="both"/>
        <w:rPr>
          <w:rFonts w:ascii="Calibri" w:hAnsi="Calibri" w:cs="Arial"/>
          <w:szCs w:val="22"/>
        </w:rPr>
      </w:pPr>
      <w:r>
        <w:rPr>
          <w:rFonts w:ascii="Calibri" w:hAnsi="Calibri" w:cs="Arial"/>
          <w:szCs w:val="22"/>
        </w:rPr>
        <w:t>Basics of site planning and urban design,</w:t>
      </w:r>
    </w:p>
    <w:p w14:paraId="29B040C8" w14:textId="77777777" w:rsidR="00E332BF" w:rsidRPr="00BB68B7" w:rsidRDefault="00E332BF" w:rsidP="00BC2A13">
      <w:pPr>
        <w:pStyle w:val="BodyText"/>
        <w:numPr>
          <w:ilvl w:val="0"/>
          <w:numId w:val="4"/>
        </w:numPr>
        <w:spacing w:after="40" w:line="276" w:lineRule="auto"/>
        <w:jc w:val="both"/>
        <w:rPr>
          <w:rFonts w:ascii="Calibri" w:hAnsi="Calibri" w:cs="Arial"/>
          <w:szCs w:val="22"/>
        </w:rPr>
      </w:pPr>
      <w:r>
        <w:rPr>
          <w:rFonts w:ascii="Calibri" w:hAnsi="Calibri" w:cs="Arial"/>
          <w:szCs w:val="22"/>
        </w:rPr>
        <w:t>Public policy making,</w:t>
      </w:r>
    </w:p>
    <w:p w14:paraId="69B1FBDD" w14:textId="545B9327" w:rsidR="00E332BF" w:rsidRDefault="00E332BF" w:rsidP="00BC2A13">
      <w:pPr>
        <w:pStyle w:val="BodyText"/>
        <w:numPr>
          <w:ilvl w:val="0"/>
          <w:numId w:val="4"/>
        </w:numPr>
        <w:spacing w:after="40" w:line="276" w:lineRule="auto"/>
        <w:jc w:val="both"/>
        <w:rPr>
          <w:rFonts w:ascii="Calibri" w:hAnsi="Calibri" w:cs="Arial"/>
          <w:szCs w:val="22"/>
        </w:rPr>
      </w:pPr>
      <w:r>
        <w:rPr>
          <w:rFonts w:ascii="Calibri" w:hAnsi="Calibri" w:cs="Arial"/>
          <w:szCs w:val="22"/>
        </w:rPr>
        <w:t>The entitlement process and opportunities to create community benefits</w:t>
      </w:r>
      <w:r w:rsidR="00137BE1">
        <w:rPr>
          <w:rFonts w:ascii="Calibri" w:hAnsi="Calibri" w:cs="Arial"/>
          <w:szCs w:val="22"/>
        </w:rPr>
        <w:t xml:space="preserve"> through entitlements and project approvals</w:t>
      </w:r>
      <w:r>
        <w:rPr>
          <w:rFonts w:ascii="Calibri" w:hAnsi="Calibri" w:cs="Arial"/>
          <w:szCs w:val="22"/>
        </w:rPr>
        <w:t>,</w:t>
      </w:r>
    </w:p>
    <w:p w14:paraId="6C184ADD" w14:textId="77777777" w:rsidR="00E332BF" w:rsidRPr="00A25F67" w:rsidRDefault="00E332BF" w:rsidP="00BC2A13">
      <w:pPr>
        <w:pStyle w:val="BodyText"/>
        <w:numPr>
          <w:ilvl w:val="0"/>
          <w:numId w:val="4"/>
        </w:numPr>
        <w:spacing w:after="40" w:line="276" w:lineRule="auto"/>
        <w:jc w:val="both"/>
        <w:rPr>
          <w:rFonts w:ascii="Calibri" w:hAnsi="Calibri" w:cs="Arial"/>
          <w:szCs w:val="22"/>
        </w:rPr>
      </w:pPr>
      <w:r>
        <w:rPr>
          <w:rFonts w:ascii="Calibri" w:hAnsi="Calibri" w:cs="Arial"/>
          <w:szCs w:val="22"/>
        </w:rPr>
        <w:t>F</w:t>
      </w:r>
      <w:r w:rsidRPr="00586332">
        <w:rPr>
          <w:rFonts w:ascii="Calibri" w:hAnsi="Calibri" w:cs="Arial"/>
          <w:szCs w:val="22"/>
        </w:rPr>
        <w:t>easibility analysis</w:t>
      </w:r>
      <w:r>
        <w:rPr>
          <w:rFonts w:ascii="Calibri" w:hAnsi="Calibri" w:cs="Arial"/>
          <w:szCs w:val="22"/>
        </w:rPr>
        <w:t xml:space="preserve"> and</w:t>
      </w:r>
    </w:p>
    <w:p w14:paraId="7AFCEA9B" w14:textId="77777777" w:rsidR="00E332BF" w:rsidRPr="00A25F67" w:rsidRDefault="00E332BF" w:rsidP="00BC2A13">
      <w:pPr>
        <w:pStyle w:val="BodyText"/>
        <w:numPr>
          <w:ilvl w:val="0"/>
          <w:numId w:val="4"/>
        </w:numPr>
        <w:spacing w:after="40" w:line="276" w:lineRule="auto"/>
        <w:jc w:val="both"/>
        <w:rPr>
          <w:rFonts w:ascii="Calibri" w:hAnsi="Calibri" w:cs="Arial"/>
          <w:szCs w:val="22"/>
        </w:rPr>
      </w:pPr>
      <w:r>
        <w:rPr>
          <w:rFonts w:ascii="Calibri" w:hAnsi="Calibri" w:cs="Arial"/>
          <w:szCs w:val="22"/>
        </w:rPr>
        <w:t>C</w:t>
      </w:r>
      <w:r w:rsidRPr="00586332">
        <w:rPr>
          <w:rFonts w:ascii="Calibri" w:hAnsi="Calibri" w:cs="Arial"/>
          <w:szCs w:val="22"/>
        </w:rPr>
        <w:t>onsiderations in operat</w:t>
      </w:r>
      <w:r>
        <w:rPr>
          <w:rFonts w:ascii="Calibri" w:hAnsi="Calibri" w:cs="Arial"/>
          <w:szCs w:val="22"/>
        </w:rPr>
        <w:t xml:space="preserve">ing for-profit and non-profit </w:t>
      </w:r>
      <w:r w:rsidRPr="00586332">
        <w:rPr>
          <w:rFonts w:ascii="Calibri" w:hAnsi="Calibri" w:cs="Arial"/>
          <w:szCs w:val="22"/>
        </w:rPr>
        <w:t>developments</w:t>
      </w:r>
      <w:r>
        <w:rPr>
          <w:rFonts w:ascii="Calibri" w:hAnsi="Calibri" w:cs="Arial"/>
          <w:szCs w:val="22"/>
        </w:rPr>
        <w:t>, including public-private partnerships.</w:t>
      </w:r>
    </w:p>
    <w:p w14:paraId="35CB4FE4" w14:textId="78E13BBF" w:rsidR="00E332BF" w:rsidRPr="00586332" w:rsidRDefault="00E332BF" w:rsidP="00931825">
      <w:pPr>
        <w:spacing w:before="0" w:after="40"/>
        <w:jc w:val="both"/>
        <w:rPr>
          <w:b/>
          <w:bCs/>
          <w:sz w:val="22"/>
          <w:szCs w:val="22"/>
        </w:rPr>
      </w:pPr>
      <w:r w:rsidRPr="00586332">
        <w:rPr>
          <w:b/>
          <w:bCs/>
          <w:sz w:val="22"/>
          <w:szCs w:val="22"/>
        </w:rPr>
        <w:t xml:space="preserve">Prerequisite(s): </w:t>
      </w:r>
      <w:r w:rsidR="004B2E20">
        <w:rPr>
          <w:bCs/>
          <w:sz w:val="22"/>
          <w:szCs w:val="22"/>
        </w:rPr>
        <w:t>Junior or S</w:t>
      </w:r>
      <w:r w:rsidRPr="00586332">
        <w:rPr>
          <w:bCs/>
          <w:sz w:val="22"/>
          <w:szCs w:val="22"/>
        </w:rPr>
        <w:t>enior</w:t>
      </w:r>
      <w:r w:rsidR="004B2E20">
        <w:rPr>
          <w:bCs/>
          <w:sz w:val="22"/>
          <w:szCs w:val="22"/>
        </w:rPr>
        <w:t xml:space="preserve"> level</w:t>
      </w:r>
    </w:p>
    <w:p w14:paraId="53C4B498" w14:textId="77777777" w:rsidR="00E332BF" w:rsidRPr="00586332" w:rsidRDefault="00E332BF" w:rsidP="00931825">
      <w:pPr>
        <w:spacing w:before="0" w:after="40"/>
        <w:jc w:val="both"/>
        <w:rPr>
          <w:b/>
          <w:bCs/>
          <w:sz w:val="22"/>
          <w:szCs w:val="22"/>
        </w:rPr>
      </w:pPr>
      <w:r w:rsidRPr="00586332">
        <w:rPr>
          <w:b/>
          <w:bCs/>
          <w:sz w:val="22"/>
          <w:szCs w:val="22"/>
        </w:rPr>
        <w:t xml:space="preserve">Co-Requisite (s): </w:t>
      </w:r>
      <w:r w:rsidRPr="00586332">
        <w:rPr>
          <w:bCs/>
          <w:sz w:val="22"/>
          <w:szCs w:val="22"/>
        </w:rPr>
        <w:t>None</w:t>
      </w:r>
    </w:p>
    <w:p w14:paraId="3C511219" w14:textId="77777777" w:rsidR="00E332BF" w:rsidRPr="00586332" w:rsidRDefault="00E332BF" w:rsidP="00931825">
      <w:pPr>
        <w:spacing w:before="0" w:after="40"/>
        <w:jc w:val="both"/>
        <w:rPr>
          <w:b/>
          <w:bCs/>
          <w:sz w:val="22"/>
          <w:szCs w:val="22"/>
        </w:rPr>
      </w:pPr>
      <w:r w:rsidRPr="00586332">
        <w:rPr>
          <w:b/>
          <w:bCs/>
          <w:sz w:val="22"/>
          <w:szCs w:val="22"/>
        </w:rPr>
        <w:t xml:space="preserve">Concurrent Enrollment: </w:t>
      </w:r>
      <w:r w:rsidRPr="00586332">
        <w:rPr>
          <w:bCs/>
          <w:sz w:val="22"/>
          <w:szCs w:val="22"/>
        </w:rPr>
        <w:t>None</w:t>
      </w:r>
    </w:p>
    <w:p w14:paraId="0D300B9F" w14:textId="77777777" w:rsidR="00E332BF" w:rsidRDefault="00E332BF" w:rsidP="00931825">
      <w:pPr>
        <w:spacing w:before="0" w:after="40"/>
        <w:jc w:val="both"/>
        <w:rPr>
          <w:bCs/>
          <w:sz w:val="22"/>
          <w:szCs w:val="22"/>
        </w:rPr>
      </w:pPr>
      <w:r w:rsidRPr="00586332">
        <w:rPr>
          <w:b/>
          <w:bCs/>
          <w:sz w:val="22"/>
          <w:szCs w:val="22"/>
        </w:rPr>
        <w:t>Recommended Preparation</w:t>
      </w:r>
      <w:r w:rsidRPr="00586332">
        <w:rPr>
          <w:rStyle w:val="tooltiptext"/>
          <w:color w:val="808080"/>
          <w:sz w:val="22"/>
          <w:szCs w:val="22"/>
        </w:rPr>
        <w:t xml:space="preserve">:  </w:t>
      </w:r>
      <w:r w:rsidRPr="00586332">
        <w:rPr>
          <w:bCs/>
          <w:sz w:val="22"/>
          <w:szCs w:val="22"/>
        </w:rPr>
        <w:t>No special preparation</w:t>
      </w:r>
      <w:r>
        <w:rPr>
          <w:bCs/>
          <w:sz w:val="22"/>
          <w:szCs w:val="22"/>
        </w:rPr>
        <w:t xml:space="preserve"> is required</w:t>
      </w:r>
    </w:p>
    <w:p w14:paraId="5B1E7613" w14:textId="77777777" w:rsidR="00DD74F5" w:rsidRPr="00CD6F2A" w:rsidRDefault="001A11B3">
      <w:pPr>
        <w:pStyle w:val="Heading3"/>
        <w:rPr>
          <w:sz w:val="22"/>
          <w:szCs w:val="22"/>
        </w:rPr>
      </w:pPr>
      <w:r w:rsidRPr="00CD6F2A">
        <w:rPr>
          <w:sz w:val="22"/>
          <w:szCs w:val="22"/>
        </w:rPr>
        <w:t>INSTRUCTOR AND COMMUNICATION POLICY</w:t>
      </w:r>
    </w:p>
    <w:p w14:paraId="677CA242" w14:textId="77777777" w:rsidR="00931825" w:rsidRPr="00931825" w:rsidRDefault="00931825" w:rsidP="00931825">
      <w:pPr>
        <w:pBdr>
          <w:top w:val="nil"/>
          <w:left w:val="nil"/>
          <w:bottom w:val="nil"/>
          <w:right w:val="nil"/>
          <w:between w:val="nil"/>
        </w:pBdr>
        <w:spacing w:before="0" w:after="40"/>
        <w:rPr>
          <w:b/>
          <w:color w:val="000000"/>
          <w:sz w:val="22"/>
          <w:szCs w:val="22"/>
        </w:rPr>
      </w:pPr>
      <w:r w:rsidRPr="00931825">
        <w:rPr>
          <w:b/>
          <w:color w:val="000000"/>
          <w:sz w:val="22"/>
          <w:szCs w:val="22"/>
        </w:rPr>
        <w:t xml:space="preserve">Donald R. Spivack, AICP, FRSA </w:t>
      </w:r>
    </w:p>
    <w:p w14:paraId="33699F9C" w14:textId="77777777" w:rsidR="00931825" w:rsidRPr="00931825" w:rsidRDefault="00931825" w:rsidP="00931825">
      <w:pPr>
        <w:pBdr>
          <w:top w:val="nil"/>
          <w:left w:val="nil"/>
          <w:bottom w:val="nil"/>
          <w:right w:val="nil"/>
          <w:between w:val="nil"/>
        </w:pBdr>
        <w:spacing w:before="0" w:after="40"/>
        <w:rPr>
          <w:color w:val="000000"/>
          <w:sz w:val="22"/>
          <w:szCs w:val="22"/>
        </w:rPr>
      </w:pPr>
      <w:r w:rsidRPr="00931825">
        <w:rPr>
          <w:sz w:val="22"/>
          <w:szCs w:val="22"/>
        </w:rPr>
        <w:t>Office: RGL 107 and (for online courses and virtual meeting options) Zoom</w:t>
      </w:r>
    </w:p>
    <w:p w14:paraId="761CF125" w14:textId="77777777" w:rsidR="00931825" w:rsidRPr="00931825" w:rsidRDefault="00931825" w:rsidP="00931825">
      <w:pPr>
        <w:pBdr>
          <w:top w:val="nil"/>
          <w:left w:val="nil"/>
          <w:bottom w:val="nil"/>
          <w:right w:val="nil"/>
          <w:between w:val="nil"/>
        </w:pBdr>
        <w:spacing w:before="0" w:after="40"/>
        <w:rPr>
          <w:color w:val="000000"/>
          <w:sz w:val="22"/>
          <w:szCs w:val="22"/>
        </w:rPr>
      </w:pPr>
      <w:r w:rsidRPr="00931825">
        <w:rPr>
          <w:sz w:val="22"/>
          <w:szCs w:val="22"/>
        </w:rPr>
        <w:t>Phone: 213 740-0350 office 213 590-1600 cell</w:t>
      </w:r>
    </w:p>
    <w:p w14:paraId="4F5C119A" w14:textId="77777777" w:rsidR="00931825" w:rsidRPr="00931825" w:rsidRDefault="00931825" w:rsidP="00931825">
      <w:pPr>
        <w:pBdr>
          <w:top w:val="nil"/>
          <w:left w:val="nil"/>
          <w:bottom w:val="nil"/>
          <w:right w:val="nil"/>
          <w:between w:val="nil"/>
        </w:pBdr>
        <w:spacing w:before="0" w:after="40"/>
        <w:rPr>
          <w:color w:val="000000"/>
          <w:sz w:val="22"/>
          <w:szCs w:val="22"/>
        </w:rPr>
      </w:pPr>
      <w:r w:rsidRPr="00931825">
        <w:rPr>
          <w:sz w:val="22"/>
          <w:szCs w:val="22"/>
        </w:rPr>
        <w:t>Email: spivack@usc.edu</w:t>
      </w:r>
    </w:p>
    <w:p w14:paraId="1A1C0FD9" w14:textId="77777777" w:rsidR="00931825" w:rsidRPr="00931825" w:rsidRDefault="00931825" w:rsidP="00E172DE">
      <w:pPr>
        <w:pBdr>
          <w:top w:val="nil"/>
          <w:left w:val="nil"/>
          <w:bottom w:val="nil"/>
          <w:right w:val="nil"/>
          <w:between w:val="nil"/>
        </w:pBdr>
        <w:spacing w:before="0" w:after="40"/>
        <w:jc w:val="both"/>
        <w:rPr>
          <w:color w:val="000000"/>
          <w:sz w:val="22"/>
          <w:szCs w:val="22"/>
        </w:rPr>
      </w:pPr>
      <w:r w:rsidRPr="00931825">
        <w:rPr>
          <w:sz w:val="22"/>
          <w:szCs w:val="22"/>
        </w:rPr>
        <w:t xml:space="preserve">Best way of contact is by email: </w:t>
      </w:r>
      <w:hyperlink r:id="rId12">
        <w:r w:rsidRPr="00931825">
          <w:rPr>
            <w:color w:val="1155CC"/>
            <w:sz w:val="22"/>
            <w:szCs w:val="22"/>
            <w:u w:val="single"/>
          </w:rPr>
          <w:t>spivack@usc.edu</w:t>
        </w:r>
      </w:hyperlink>
      <w:r w:rsidRPr="00931825">
        <w:rPr>
          <w:sz w:val="22"/>
          <w:szCs w:val="22"/>
        </w:rPr>
        <w:t xml:space="preserve"> or text to 213 590-1600.  Please note cell calls must provide caller ID or will not be answered, nor will calls be answered during meetings or other classes.</w:t>
      </w:r>
    </w:p>
    <w:p w14:paraId="4912DA03" w14:textId="77777777" w:rsidR="00DD74F5" w:rsidRPr="00CD6F2A" w:rsidRDefault="001A11B3">
      <w:pPr>
        <w:pStyle w:val="Heading3"/>
        <w:rPr>
          <w:sz w:val="22"/>
          <w:szCs w:val="22"/>
        </w:rPr>
      </w:pPr>
      <w:r w:rsidRPr="00CD6F2A">
        <w:rPr>
          <w:sz w:val="22"/>
          <w:szCs w:val="22"/>
        </w:rPr>
        <w:t>TEXTBOOKS AND MATERIALS</w:t>
      </w:r>
    </w:p>
    <w:p w14:paraId="74A9EED4" w14:textId="77777777" w:rsidR="00CD6F2A" w:rsidRPr="00CD6F2A" w:rsidRDefault="00CD6F2A" w:rsidP="00CD6F2A">
      <w:pPr>
        <w:spacing w:before="0" w:after="40"/>
        <w:jc w:val="both"/>
        <w:rPr>
          <w:rFonts w:asciiTheme="majorHAnsi" w:hAnsiTheme="majorHAnsi" w:cstheme="majorHAnsi"/>
          <w:sz w:val="22"/>
          <w:szCs w:val="22"/>
        </w:rPr>
      </w:pPr>
      <w:bookmarkStart w:id="0" w:name="_gjdgxs" w:colFirst="0" w:colLast="0"/>
      <w:bookmarkEnd w:id="0"/>
      <w:r w:rsidRPr="00CD6F2A">
        <w:rPr>
          <w:rFonts w:asciiTheme="majorHAnsi" w:hAnsiTheme="majorHAnsi" w:cstheme="majorHAnsi"/>
          <w:sz w:val="22"/>
          <w:szCs w:val="22"/>
        </w:rPr>
        <w:t xml:space="preserve">The preferred textbook is Blakely, Edward J. and Leigh Green, Nancey: </w:t>
      </w:r>
      <w:r w:rsidRPr="00CD6F2A">
        <w:rPr>
          <w:rFonts w:asciiTheme="majorHAnsi" w:hAnsiTheme="majorHAnsi" w:cstheme="majorHAnsi"/>
          <w:i/>
          <w:iCs/>
          <w:sz w:val="22"/>
          <w:szCs w:val="22"/>
        </w:rPr>
        <w:t>Planning Local Economic Development</w:t>
      </w:r>
      <w:r w:rsidRPr="00CD6F2A">
        <w:rPr>
          <w:rFonts w:asciiTheme="majorHAnsi" w:hAnsiTheme="majorHAnsi" w:cstheme="majorHAnsi"/>
          <w:sz w:val="22"/>
          <w:szCs w:val="22"/>
        </w:rPr>
        <w:t xml:space="preserve">, Fifth Edition, Sage Publications, Los Angeles, CA, 2013 or Sixth Edition, 2016. Other readings and useful background information will be on Blackboard. The Blackboard site is </w:t>
      </w:r>
      <w:hyperlink r:id="rId13" w:history="1">
        <w:r w:rsidRPr="00CD6F2A">
          <w:rPr>
            <w:rStyle w:val="Hyperlink"/>
            <w:rFonts w:asciiTheme="majorHAnsi" w:hAnsiTheme="majorHAnsi" w:cstheme="majorHAnsi"/>
            <w:sz w:val="22"/>
            <w:szCs w:val="22"/>
          </w:rPr>
          <w:t>http://blackboard.usc.edu</w:t>
        </w:r>
      </w:hyperlink>
      <w:r w:rsidRPr="00CD6F2A">
        <w:rPr>
          <w:rFonts w:asciiTheme="majorHAnsi" w:hAnsiTheme="majorHAnsi" w:cstheme="majorHAnsi"/>
          <w:sz w:val="22"/>
          <w:szCs w:val="22"/>
        </w:rPr>
        <w:t>.</w:t>
      </w:r>
    </w:p>
    <w:p w14:paraId="363C3D2B" w14:textId="77777777" w:rsidR="00CD6F2A" w:rsidRPr="00CD6F2A" w:rsidRDefault="00CD6F2A" w:rsidP="00CD6F2A">
      <w:pPr>
        <w:spacing w:before="0" w:after="40"/>
        <w:jc w:val="both"/>
        <w:rPr>
          <w:rFonts w:asciiTheme="majorHAnsi" w:hAnsiTheme="majorHAnsi" w:cstheme="majorHAnsi"/>
          <w:sz w:val="22"/>
          <w:szCs w:val="22"/>
        </w:rPr>
      </w:pPr>
      <w:r w:rsidRPr="00CD6F2A">
        <w:rPr>
          <w:rFonts w:asciiTheme="majorHAnsi" w:hAnsiTheme="majorHAnsi" w:cstheme="majorHAnsi"/>
          <w:sz w:val="22"/>
          <w:szCs w:val="22"/>
        </w:rPr>
        <w:t>Other reading and background data sources include selections from:</w:t>
      </w:r>
    </w:p>
    <w:p w14:paraId="400361BA"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lastRenderedPageBreak/>
        <w:t xml:space="preserve">Benner, Chris and Pastor, Manuel: </w:t>
      </w:r>
      <w:r w:rsidRPr="00CD6F2A">
        <w:rPr>
          <w:rFonts w:asciiTheme="majorHAnsi" w:hAnsiTheme="majorHAnsi" w:cstheme="majorHAnsi"/>
          <w:i/>
          <w:sz w:val="22"/>
          <w:szCs w:val="22"/>
        </w:rPr>
        <w:t>Just Growth: Inclusion and Prosperity in America’s Metropolitan Regions</w:t>
      </w:r>
      <w:r w:rsidRPr="00CD6F2A">
        <w:rPr>
          <w:rFonts w:asciiTheme="majorHAnsi" w:hAnsiTheme="majorHAnsi" w:cstheme="majorHAnsi"/>
          <w:sz w:val="22"/>
          <w:szCs w:val="22"/>
        </w:rPr>
        <w:t>, Rutledge, New York, NY, 2012.</w:t>
      </w:r>
    </w:p>
    <w:p w14:paraId="26CCB2DC"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City of Los Angeles, CA: </w:t>
      </w:r>
      <w:r w:rsidRPr="00CD6F2A">
        <w:rPr>
          <w:rFonts w:asciiTheme="majorHAnsi" w:hAnsiTheme="majorHAnsi" w:cstheme="majorHAnsi"/>
          <w:i/>
          <w:sz w:val="22"/>
          <w:szCs w:val="22"/>
        </w:rPr>
        <w:t>PLAN LA</w:t>
      </w:r>
      <w:r w:rsidRPr="00CD6F2A">
        <w:rPr>
          <w:rFonts w:asciiTheme="majorHAnsi" w:hAnsiTheme="majorHAnsi" w:cstheme="majorHAnsi"/>
          <w:sz w:val="22"/>
          <w:szCs w:val="22"/>
        </w:rPr>
        <w:t>, Transforming Los Angeles (Mayor's Sustainability Plan), Los Angeles, CA, 2015.</w:t>
      </w:r>
    </w:p>
    <w:p w14:paraId="15F65F37"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City of Los Angeles, CA, Department of City Planning: </w:t>
      </w:r>
      <w:r w:rsidRPr="00CD6F2A">
        <w:rPr>
          <w:rFonts w:asciiTheme="majorHAnsi" w:hAnsiTheme="majorHAnsi" w:cstheme="majorHAnsi"/>
          <w:i/>
          <w:sz w:val="22"/>
          <w:szCs w:val="22"/>
        </w:rPr>
        <w:t>Mobility Plan 2035</w:t>
      </w:r>
      <w:r w:rsidRPr="00CD6F2A">
        <w:rPr>
          <w:rFonts w:asciiTheme="majorHAnsi" w:hAnsiTheme="majorHAnsi" w:cstheme="majorHAnsi"/>
          <w:sz w:val="22"/>
          <w:szCs w:val="22"/>
        </w:rPr>
        <w:t>, Los Angeles, CA, 2016. (</w:t>
      </w:r>
      <w:hyperlink r:id="rId14" w:history="1">
        <w:r w:rsidRPr="00CD6F2A">
          <w:rPr>
            <w:rStyle w:val="Hyperlink"/>
            <w:rFonts w:asciiTheme="majorHAnsi" w:hAnsiTheme="majorHAnsi" w:cstheme="majorHAnsi"/>
            <w:sz w:val="22"/>
            <w:szCs w:val="22"/>
          </w:rPr>
          <w:t>http://cityplanning.lacity.org</w:t>
        </w:r>
      </w:hyperlink>
      <w:r w:rsidRPr="00CD6F2A">
        <w:rPr>
          <w:rFonts w:asciiTheme="majorHAnsi" w:hAnsiTheme="majorHAnsi" w:cstheme="majorHAnsi"/>
          <w:sz w:val="22"/>
          <w:szCs w:val="22"/>
        </w:rPr>
        <w:t>)</w:t>
      </w:r>
    </w:p>
    <w:p w14:paraId="27AF8AC9"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City of Los Angeles, CA, Department of City Planning: </w:t>
      </w:r>
      <w:r w:rsidRPr="00CD6F2A">
        <w:rPr>
          <w:rFonts w:asciiTheme="majorHAnsi" w:hAnsiTheme="majorHAnsi" w:cstheme="majorHAnsi"/>
          <w:i/>
          <w:sz w:val="22"/>
          <w:szCs w:val="22"/>
        </w:rPr>
        <w:t>Plan for a Healthy Los Angeles</w:t>
      </w:r>
      <w:r w:rsidRPr="00CD6F2A">
        <w:rPr>
          <w:rFonts w:asciiTheme="majorHAnsi" w:hAnsiTheme="majorHAnsi" w:cstheme="majorHAnsi"/>
          <w:sz w:val="22"/>
          <w:szCs w:val="22"/>
        </w:rPr>
        <w:t>, Health Element of the Los Angeles General Plan, Los Angeles, CA, 2015. (</w:t>
      </w:r>
      <w:hyperlink r:id="rId15" w:history="1">
        <w:r w:rsidRPr="00CD6F2A">
          <w:rPr>
            <w:rStyle w:val="Hyperlink"/>
            <w:rFonts w:asciiTheme="majorHAnsi" w:hAnsiTheme="majorHAnsi" w:cstheme="majorHAnsi"/>
            <w:sz w:val="22"/>
            <w:szCs w:val="22"/>
          </w:rPr>
          <w:t>http://cityplanning.lacity.org</w:t>
        </w:r>
      </w:hyperlink>
      <w:r w:rsidRPr="00CD6F2A">
        <w:rPr>
          <w:rFonts w:asciiTheme="majorHAnsi" w:hAnsiTheme="majorHAnsi" w:cstheme="majorHAnsi"/>
          <w:sz w:val="22"/>
          <w:szCs w:val="22"/>
        </w:rPr>
        <w:t>)</w:t>
      </w:r>
    </w:p>
    <w:p w14:paraId="146C17A4"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City of Los Angeles, CA, Department of City Planning: </w:t>
      </w:r>
      <w:r w:rsidRPr="00CD6F2A">
        <w:rPr>
          <w:rFonts w:asciiTheme="majorHAnsi" w:hAnsiTheme="majorHAnsi" w:cstheme="majorHAnsi"/>
          <w:i/>
          <w:sz w:val="22"/>
          <w:szCs w:val="22"/>
        </w:rPr>
        <w:t>Southeast Los Angeles Community Plan</w:t>
      </w:r>
      <w:r w:rsidRPr="00CD6F2A">
        <w:rPr>
          <w:rFonts w:asciiTheme="majorHAnsi" w:hAnsiTheme="majorHAnsi" w:cstheme="majorHAnsi"/>
          <w:sz w:val="22"/>
          <w:szCs w:val="22"/>
        </w:rPr>
        <w:t>, Los Angeles, CA, 2017. (</w:t>
      </w:r>
      <w:hyperlink r:id="rId16" w:history="1">
        <w:r w:rsidRPr="00CD6F2A">
          <w:rPr>
            <w:rStyle w:val="Hyperlink"/>
            <w:rFonts w:asciiTheme="majorHAnsi" w:hAnsiTheme="majorHAnsi" w:cstheme="majorHAnsi"/>
            <w:sz w:val="22"/>
            <w:szCs w:val="22"/>
          </w:rPr>
          <w:t>http://cityplanning.lacity.org</w:t>
        </w:r>
      </w:hyperlink>
      <w:r w:rsidRPr="00CD6F2A">
        <w:rPr>
          <w:rFonts w:asciiTheme="majorHAnsi" w:hAnsiTheme="majorHAnsi" w:cstheme="majorHAnsi"/>
          <w:sz w:val="22"/>
          <w:szCs w:val="22"/>
        </w:rPr>
        <w:t>)</w:t>
      </w:r>
    </w:p>
    <w:p w14:paraId="11D3A128"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City of Los Angeles, CA, Department of City Planning: </w:t>
      </w:r>
      <w:r w:rsidRPr="00CD6F2A">
        <w:rPr>
          <w:rFonts w:asciiTheme="majorHAnsi" w:hAnsiTheme="majorHAnsi" w:cstheme="majorHAnsi"/>
          <w:i/>
          <w:sz w:val="22"/>
          <w:szCs w:val="22"/>
        </w:rPr>
        <w:t>South Los Angeles Community Plan</w:t>
      </w:r>
      <w:r w:rsidRPr="00CD6F2A">
        <w:rPr>
          <w:rFonts w:asciiTheme="majorHAnsi" w:hAnsiTheme="majorHAnsi" w:cstheme="majorHAnsi"/>
          <w:sz w:val="22"/>
          <w:szCs w:val="22"/>
        </w:rPr>
        <w:t>, Los Angeles, CA 2017. (</w:t>
      </w:r>
      <w:hyperlink r:id="rId17" w:history="1">
        <w:r w:rsidRPr="00CD6F2A">
          <w:rPr>
            <w:rStyle w:val="Hyperlink"/>
            <w:rFonts w:asciiTheme="majorHAnsi" w:hAnsiTheme="majorHAnsi" w:cstheme="majorHAnsi"/>
            <w:sz w:val="22"/>
            <w:szCs w:val="22"/>
          </w:rPr>
          <w:t>http://cityplanning.lacity.org</w:t>
        </w:r>
      </w:hyperlink>
      <w:r w:rsidRPr="00CD6F2A">
        <w:rPr>
          <w:rFonts w:asciiTheme="majorHAnsi" w:hAnsiTheme="majorHAnsi" w:cstheme="majorHAnsi"/>
          <w:sz w:val="22"/>
          <w:szCs w:val="22"/>
        </w:rPr>
        <w:t>)</w:t>
      </w:r>
    </w:p>
    <w:p w14:paraId="7EDA464E"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City of Los Angeles, CA, Department of City Planning: "Transit Oriented Communities Guidelines", Los Angeles, CA 2018.</w:t>
      </w:r>
    </w:p>
    <w:p w14:paraId="16C8292E"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City of Los Angeles, CA, Department of City Planning: "Walkability Checklist", Los Angeles, CA, 2007.</w:t>
      </w:r>
    </w:p>
    <w:p w14:paraId="17E09385"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Florida, Richard: </w:t>
      </w:r>
      <w:r w:rsidRPr="00CD6F2A">
        <w:rPr>
          <w:rFonts w:asciiTheme="majorHAnsi" w:hAnsiTheme="majorHAnsi" w:cstheme="majorHAnsi"/>
          <w:i/>
          <w:sz w:val="22"/>
          <w:szCs w:val="22"/>
        </w:rPr>
        <w:t>The Great Reset: How the Post-Crash Economy will Change the Way We Live and Work</w:t>
      </w:r>
      <w:r w:rsidRPr="00CD6F2A">
        <w:rPr>
          <w:rFonts w:asciiTheme="majorHAnsi" w:hAnsiTheme="majorHAnsi" w:cstheme="majorHAnsi"/>
          <w:sz w:val="22"/>
          <w:szCs w:val="22"/>
        </w:rPr>
        <w:t>, HarperCollins, New York, NY, 2011.</w:t>
      </w:r>
    </w:p>
    <w:p w14:paraId="1D880593"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Fulton, William: </w:t>
      </w:r>
      <w:r w:rsidRPr="00CD6F2A">
        <w:rPr>
          <w:rFonts w:asciiTheme="majorHAnsi" w:hAnsiTheme="majorHAnsi" w:cstheme="majorHAnsi"/>
          <w:i/>
          <w:sz w:val="22"/>
          <w:szCs w:val="22"/>
        </w:rPr>
        <w:t>Guide to Planning in California</w:t>
      </w:r>
      <w:r w:rsidRPr="00CD6F2A">
        <w:rPr>
          <w:rFonts w:asciiTheme="majorHAnsi" w:hAnsiTheme="majorHAnsi" w:cstheme="majorHAnsi"/>
          <w:sz w:val="22"/>
          <w:szCs w:val="22"/>
        </w:rPr>
        <w:t>, Solano Press, Point Arena, CA, 2005.</w:t>
      </w:r>
    </w:p>
    <w:p w14:paraId="064A8AFC"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proofErr w:type="spellStart"/>
      <w:r w:rsidRPr="00CD6F2A">
        <w:rPr>
          <w:rFonts w:asciiTheme="majorHAnsi" w:hAnsiTheme="majorHAnsi" w:cstheme="majorHAnsi"/>
          <w:sz w:val="22"/>
          <w:szCs w:val="22"/>
        </w:rPr>
        <w:t>Gehrke</w:t>
      </w:r>
      <w:proofErr w:type="spellEnd"/>
      <w:r w:rsidRPr="00CD6F2A">
        <w:rPr>
          <w:rFonts w:asciiTheme="majorHAnsi" w:hAnsiTheme="majorHAnsi" w:cstheme="majorHAnsi"/>
          <w:sz w:val="22"/>
          <w:szCs w:val="22"/>
        </w:rPr>
        <w:t xml:space="preserve">, Amanda, </w:t>
      </w:r>
      <w:proofErr w:type="spellStart"/>
      <w:r w:rsidRPr="00CD6F2A">
        <w:rPr>
          <w:rFonts w:asciiTheme="majorHAnsi" w:hAnsiTheme="majorHAnsi" w:cstheme="majorHAnsi"/>
          <w:sz w:val="22"/>
          <w:szCs w:val="22"/>
        </w:rPr>
        <w:t>Ohland</w:t>
      </w:r>
      <w:proofErr w:type="spellEnd"/>
      <w:r w:rsidRPr="00CD6F2A">
        <w:rPr>
          <w:rFonts w:asciiTheme="majorHAnsi" w:hAnsiTheme="majorHAnsi" w:cstheme="majorHAnsi"/>
          <w:sz w:val="22"/>
          <w:szCs w:val="22"/>
        </w:rPr>
        <w:t xml:space="preserve">, Gloria, Thorne-Lyman, Abigail, Wampler, Elizabeth, Wood, Jeffrey and Zimbabwe, Sam: </w:t>
      </w:r>
      <w:r w:rsidRPr="00CD6F2A">
        <w:rPr>
          <w:rFonts w:asciiTheme="majorHAnsi" w:hAnsiTheme="majorHAnsi" w:cstheme="majorHAnsi"/>
          <w:i/>
          <w:sz w:val="22"/>
          <w:szCs w:val="22"/>
        </w:rPr>
        <w:t>Creating Successful Transit Oriented Districts in Los Angeles</w:t>
      </w:r>
      <w:r w:rsidRPr="00CD6F2A">
        <w:rPr>
          <w:rFonts w:asciiTheme="majorHAnsi" w:hAnsiTheme="majorHAnsi" w:cstheme="majorHAnsi"/>
          <w:sz w:val="22"/>
          <w:szCs w:val="22"/>
          <w:u w:val="single"/>
        </w:rPr>
        <w:t>,</w:t>
      </w:r>
      <w:r w:rsidRPr="00CD6F2A">
        <w:rPr>
          <w:rFonts w:asciiTheme="majorHAnsi" w:hAnsiTheme="majorHAnsi" w:cstheme="majorHAnsi"/>
          <w:sz w:val="22"/>
          <w:szCs w:val="22"/>
        </w:rPr>
        <w:t xml:space="preserve"> Center for Transit Oriented Development, Los Angeles, CA, 2010.</w:t>
      </w:r>
    </w:p>
    <w:p w14:paraId="74C289F6"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proofErr w:type="spellStart"/>
      <w:r w:rsidRPr="00CD6F2A">
        <w:rPr>
          <w:rFonts w:asciiTheme="majorHAnsi" w:hAnsiTheme="majorHAnsi" w:cstheme="majorHAnsi"/>
          <w:sz w:val="22"/>
          <w:szCs w:val="22"/>
        </w:rPr>
        <w:t>Glaeser</w:t>
      </w:r>
      <w:proofErr w:type="spellEnd"/>
      <w:r w:rsidRPr="00CD6F2A">
        <w:rPr>
          <w:rFonts w:asciiTheme="majorHAnsi" w:hAnsiTheme="majorHAnsi" w:cstheme="majorHAnsi"/>
          <w:sz w:val="22"/>
          <w:szCs w:val="22"/>
        </w:rPr>
        <w:t xml:space="preserve">, Edward: </w:t>
      </w:r>
      <w:r w:rsidRPr="00CD6F2A">
        <w:rPr>
          <w:rFonts w:asciiTheme="majorHAnsi" w:hAnsiTheme="majorHAnsi" w:cstheme="majorHAnsi"/>
          <w:i/>
          <w:sz w:val="22"/>
          <w:szCs w:val="22"/>
        </w:rPr>
        <w:t>Triumph of the City</w:t>
      </w:r>
      <w:r w:rsidRPr="00CD6F2A">
        <w:rPr>
          <w:rFonts w:asciiTheme="majorHAnsi" w:hAnsiTheme="majorHAnsi" w:cstheme="majorHAnsi"/>
          <w:sz w:val="22"/>
          <w:szCs w:val="22"/>
        </w:rPr>
        <w:t>, The Penguin Press, New York, NY, 2011.</w:t>
      </w:r>
    </w:p>
    <w:p w14:paraId="663386D8"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Health Impact Partners: </w:t>
      </w:r>
      <w:r w:rsidRPr="00CD6F2A">
        <w:rPr>
          <w:rFonts w:asciiTheme="majorHAnsi" w:hAnsiTheme="majorHAnsi" w:cstheme="majorHAnsi"/>
          <w:i/>
          <w:sz w:val="22"/>
          <w:szCs w:val="22"/>
        </w:rPr>
        <w:t>A Health Impact Assessment Toolkit</w:t>
      </w:r>
      <w:r w:rsidRPr="00CD6F2A">
        <w:rPr>
          <w:rFonts w:asciiTheme="majorHAnsi" w:hAnsiTheme="majorHAnsi" w:cstheme="majorHAnsi"/>
          <w:sz w:val="22"/>
          <w:szCs w:val="22"/>
        </w:rPr>
        <w:t>, Oakland, CA 2011.</w:t>
      </w:r>
    </w:p>
    <w:p w14:paraId="61C8FCA2"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Jackson, Kenneth: </w:t>
      </w:r>
      <w:r w:rsidRPr="00CD6F2A">
        <w:rPr>
          <w:rFonts w:asciiTheme="majorHAnsi" w:hAnsiTheme="majorHAnsi" w:cstheme="majorHAnsi"/>
          <w:i/>
          <w:sz w:val="22"/>
          <w:szCs w:val="22"/>
        </w:rPr>
        <w:t>Crabgrass Frontier</w:t>
      </w:r>
      <w:r w:rsidRPr="00CD6F2A">
        <w:rPr>
          <w:rFonts w:asciiTheme="majorHAnsi" w:hAnsiTheme="majorHAnsi" w:cstheme="majorHAnsi"/>
          <w:sz w:val="22"/>
          <w:szCs w:val="22"/>
        </w:rPr>
        <w:t>, Oxford University Press, New York, NY, 1985.</w:t>
      </w:r>
    </w:p>
    <w:p w14:paraId="7690CFD4"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proofErr w:type="spellStart"/>
      <w:r w:rsidRPr="00CD6F2A">
        <w:rPr>
          <w:rFonts w:asciiTheme="majorHAnsi" w:hAnsiTheme="majorHAnsi" w:cstheme="majorHAnsi"/>
          <w:sz w:val="22"/>
          <w:szCs w:val="22"/>
        </w:rPr>
        <w:t>Loukaitou</w:t>
      </w:r>
      <w:proofErr w:type="spellEnd"/>
      <w:r w:rsidRPr="00CD6F2A">
        <w:rPr>
          <w:rFonts w:asciiTheme="majorHAnsi" w:hAnsiTheme="majorHAnsi" w:cstheme="majorHAnsi"/>
          <w:sz w:val="22"/>
          <w:szCs w:val="22"/>
        </w:rPr>
        <w:t xml:space="preserve">-Sideris, Anastasia and </w:t>
      </w:r>
      <w:proofErr w:type="spellStart"/>
      <w:r w:rsidRPr="00CD6F2A">
        <w:rPr>
          <w:rFonts w:asciiTheme="majorHAnsi" w:hAnsiTheme="majorHAnsi" w:cstheme="majorHAnsi"/>
          <w:sz w:val="22"/>
          <w:szCs w:val="22"/>
        </w:rPr>
        <w:t>Soureli</w:t>
      </w:r>
      <w:proofErr w:type="spellEnd"/>
      <w:r w:rsidRPr="00CD6F2A">
        <w:rPr>
          <w:rFonts w:asciiTheme="majorHAnsi" w:hAnsiTheme="majorHAnsi" w:cstheme="majorHAnsi"/>
          <w:sz w:val="22"/>
          <w:szCs w:val="22"/>
        </w:rPr>
        <w:t xml:space="preserve">, Konstantina: “Cultural Tourism as an Economic Development Strategy for Ethnic Neighborhoods,” </w:t>
      </w:r>
      <w:r w:rsidRPr="00CD6F2A">
        <w:rPr>
          <w:rFonts w:asciiTheme="majorHAnsi" w:hAnsiTheme="majorHAnsi" w:cstheme="majorHAnsi"/>
          <w:i/>
          <w:sz w:val="22"/>
          <w:szCs w:val="22"/>
        </w:rPr>
        <w:t>Economic Development Quarterly</w:t>
      </w:r>
      <w:r w:rsidRPr="00CD6F2A">
        <w:rPr>
          <w:rFonts w:asciiTheme="majorHAnsi" w:hAnsiTheme="majorHAnsi" w:cstheme="majorHAnsi"/>
          <w:sz w:val="22"/>
          <w:szCs w:val="22"/>
        </w:rPr>
        <w:t xml:space="preserve"> 26(1), Sage Publications, New York, NY, 2012.</w:t>
      </w:r>
    </w:p>
    <w:p w14:paraId="2C81F752"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Lynch, Kevin: </w:t>
      </w:r>
      <w:r w:rsidRPr="00CD6F2A">
        <w:rPr>
          <w:rFonts w:asciiTheme="majorHAnsi" w:hAnsiTheme="majorHAnsi" w:cstheme="majorHAnsi"/>
          <w:i/>
          <w:sz w:val="22"/>
          <w:szCs w:val="22"/>
        </w:rPr>
        <w:t>The Image of the City</w:t>
      </w:r>
      <w:r w:rsidRPr="00CD6F2A">
        <w:rPr>
          <w:rFonts w:asciiTheme="majorHAnsi" w:hAnsiTheme="majorHAnsi" w:cstheme="majorHAnsi"/>
          <w:sz w:val="22"/>
          <w:szCs w:val="22"/>
        </w:rPr>
        <w:t>, Joint Center for Urban Studies/Massachusetts Institute of Technology and the President and Fellows of Harvard College, Cambridge, MA, 1960.</w:t>
      </w:r>
    </w:p>
    <w:p w14:paraId="10F9CFA5"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McHarg, Ian L.: </w:t>
      </w:r>
      <w:r w:rsidRPr="00CD6F2A">
        <w:rPr>
          <w:rFonts w:asciiTheme="majorHAnsi" w:hAnsiTheme="majorHAnsi" w:cstheme="majorHAnsi"/>
          <w:i/>
          <w:sz w:val="22"/>
          <w:szCs w:val="22"/>
        </w:rPr>
        <w:t>Design with Nature</w:t>
      </w:r>
      <w:r w:rsidRPr="00CD6F2A">
        <w:rPr>
          <w:rFonts w:asciiTheme="majorHAnsi" w:hAnsiTheme="majorHAnsi" w:cstheme="majorHAnsi"/>
          <w:sz w:val="22"/>
          <w:szCs w:val="22"/>
        </w:rPr>
        <w:t>, Natural History Press, Garden City, NY, 1969.</w:t>
      </w:r>
    </w:p>
    <w:p w14:paraId="5A9FB206"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Pollack, Stephanie, Bluestone, Barry and Billingham, Chase: </w:t>
      </w:r>
      <w:r w:rsidRPr="00CD6F2A">
        <w:rPr>
          <w:rFonts w:asciiTheme="majorHAnsi" w:hAnsiTheme="majorHAnsi" w:cstheme="majorHAnsi"/>
          <w:i/>
          <w:sz w:val="22"/>
          <w:szCs w:val="22"/>
        </w:rPr>
        <w:t>Maintaining Diversity in America’s Transit Rich Neighborhoods</w:t>
      </w:r>
      <w:r w:rsidRPr="00CD6F2A">
        <w:rPr>
          <w:rFonts w:asciiTheme="majorHAnsi" w:hAnsiTheme="majorHAnsi" w:cstheme="majorHAnsi"/>
          <w:sz w:val="22"/>
          <w:szCs w:val="22"/>
        </w:rPr>
        <w:t>, Dukakis Center for Urban and Regional Policy, Northeastern University, Boston, MA, 2010.</w:t>
      </w:r>
    </w:p>
    <w:p w14:paraId="3B7D7C27"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Porter, Michael: “The Competitive Advantage of the Inner City,” </w:t>
      </w:r>
      <w:r w:rsidRPr="00CD6F2A">
        <w:rPr>
          <w:rFonts w:asciiTheme="majorHAnsi" w:hAnsiTheme="majorHAnsi" w:cstheme="majorHAnsi"/>
          <w:i/>
          <w:sz w:val="22"/>
          <w:szCs w:val="22"/>
        </w:rPr>
        <w:t>Harvard Business Review</w:t>
      </w:r>
      <w:r w:rsidRPr="00CD6F2A">
        <w:rPr>
          <w:rFonts w:asciiTheme="majorHAnsi" w:hAnsiTheme="majorHAnsi" w:cstheme="majorHAnsi"/>
          <w:sz w:val="22"/>
          <w:szCs w:val="22"/>
        </w:rPr>
        <w:t xml:space="preserve"> 35, 1995.</w:t>
      </w:r>
    </w:p>
    <w:p w14:paraId="5810B431" w14:textId="77777777" w:rsidR="00CD6F2A" w:rsidRPr="00CD6F2A" w:rsidRDefault="00CD6F2A" w:rsidP="00BC2A13">
      <w:pPr>
        <w:pStyle w:val="ListParagraph"/>
        <w:numPr>
          <w:ilvl w:val="0"/>
          <w:numId w:val="5"/>
        </w:numPr>
        <w:spacing w:after="40" w:line="276" w:lineRule="auto"/>
        <w:rPr>
          <w:rFonts w:asciiTheme="majorHAnsi" w:hAnsiTheme="majorHAnsi" w:cstheme="majorHAnsi"/>
          <w:sz w:val="22"/>
          <w:szCs w:val="22"/>
        </w:rPr>
      </w:pPr>
      <w:r w:rsidRPr="00CD6F2A">
        <w:rPr>
          <w:rFonts w:asciiTheme="majorHAnsi" w:hAnsiTheme="majorHAnsi" w:cstheme="majorHAnsi"/>
          <w:sz w:val="22"/>
          <w:szCs w:val="22"/>
        </w:rPr>
        <w:t>Prevention Institute: "Healthy Development without Displacement: Realizing the Vision of Healthy Communities for All," Prevention Institute, Oakland, CA, 2017.</w:t>
      </w:r>
    </w:p>
    <w:p w14:paraId="13DD9558"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Raimi and Associates for City of Los Angeles, CA, Department of City Planning: </w:t>
      </w:r>
      <w:r w:rsidRPr="00CD6F2A">
        <w:rPr>
          <w:rFonts w:asciiTheme="majorHAnsi" w:hAnsiTheme="majorHAnsi" w:cstheme="majorHAnsi"/>
          <w:i/>
          <w:sz w:val="22"/>
          <w:szCs w:val="22"/>
        </w:rPr>
        <w:t>Health Atlas</w:t>
      </w:r>
      <w:r w:rsidRPr="00CD6F2A">
        <w:rPr>
          <w:rFonts w:asciiTheme="majorHAnsi" w:hAnsiTheme="majorHAnsi" w:cstheme="majorHAnsi"/>
          <w:sz w:val="22"/>
          <w:szCs w:val="22"/>
        </w:rPr>
        <w:t>, Los Angeles, CA, 2013. (</w:t>
      </w:r>
      <w:hyperlink r:id="rId18" w:history="1">
        <w:r w:rsidRPr="00CD6F2A">
          <w:rPr>
            <w:rStyle w:val="Hyperlink"/>
            <w:rFonts w:asciiTheme="majorHAnsi" w:hAnsiTheme="majorHAnsi" w:cstheme="majorHAnsi"/>
            <w:sz w:val="22"/>
            <w:szCs w:val="22"/>
          </w:rPr>
          <w:t>http://cityplanning.lacity.org</w:t>
        </w:r>
      </w:hyperlink>
      <w:r w:rsidRPr="00CD6F2A">
        <w:rPr>
          <w:rFonts w:asciiTheme="majorHAnsi" w:hAnsiTheme="majorHAnsi" w:cstheme="majorHAnsi"/>
          <w:sz w:val="22"/>
          <w:szCs w:val="22"/>
        </w:rPr>
        <w:t xml:space="preserve"> )</w:t>
      </w:r>
    </w:p>
    <w:p w14:paraId="36B706C5"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Sloane, David C, Editor: </w:t>
      </w:r>
      <w:r w:rsidRPr="00CD6F2A">
        <w:rPr>
          <w:rFonts w:asciiTheme="majorHAnsi" w:hAnsiTheme="majorHAnsi" w:cstheme="majorHAnsi"/>
          <w:i/>
          <w:sz w:val="22"/>
          <w:szCs w:val="22"/>
        </w:rPr>
        <w:t>Planning Los Angeles</w:t>
      </w:r>
      <w:r w:rsidRPr="00CD6F2A">
        <w:rPr>
          <w:rFonts w:asciiTheme="majorHAnsi" w:hAnsiTheme="majorHAnsi" w:cstheme="majorHAnsi"/>
          <w:sz w:val="22"/>
          <w:szCs w:val="22"/>
        </w:rPr>
        <w:t>, American Planning Association, Chicago, IL, 2012.</w:t>
      </w:r>
    </w:p>
    <w:p w14:paraId="268B7714"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lastRenderedPageBreak/>
        <w:t xml:space="preserve">Trust for Public Land and Philadelphia Park Alliance: </w:t>
      </w:r>
      <w:r w:rsidRPr="00CD6F2A">
        <w:rPr>
          <w:rFonts w:asciiTheme="majorHAnsi" w:hAnsiTheme="majorHAnsi" w:cstheme="majorHAnsi"/>
          <w:i/>
          <w:iCs/>
          <w:sz w:val="22"/>
          <w:szCs w:val="22"/>
        </w:rPr>
        <w:t>How Much Value Does the City of Philadelphia Receive for its Park and Recreation System</w:t>
      </w:r>
      <w:r w:rsidRPr="00CD6F2A">
        <w:rPr>
          <w:rFonts w:asciiTheme="majorHAnsi" w:hAnsiTheme="majorHAnsi" w:cstheme="majorHAnsi"/>
          <w:sz w:val="22"/>
          <w:szCs w:val="22"/>
        </w:rPr>
        <w:t>, Trust for Public Land, Washington, DC, 2007.</w:t>
      </w:r>
    </w:p>
    <w:p w14:paraId="4F6406FE" w14:textId="77777777" w:rsidR="00CD6F2A" w:rsidRPr="00CD6F2A"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D6F2A">
        <w:rPr>
          <w:rFonts w:asciiTheme="majorHAnsi" w:hAnsiTheme="majorHAnsi" w:cstheme="majorHAnsi"/>
          <w:sz w:val="22"/>
          <w:szCs w:val="22"/>
        </w:rPr>
        <w:t xml:space="preserve">Urban Land Institute: </w:t>
      </w:r>
      <w:r w:rsidRPr="00CD6F2A">
        <w:rPr>
          <w:rFonts w:asciiTheme="majorHAnsi" w:hAnsiTheme="majorHAnsi" w:cstheme="majorHAnsi"/>
          <w:i/>
          <w:sz w:val="22"/>
          <w:szCs w:val="22"/>
        </w:rPr>
        <w:t>Building Healthy Places Toolkit</w:t>
      </w:r>
      <w:r w:rsidRPr="00CD6F2A">
        <w:rPr>
          <w:rFonts w:asciiTheme="majorHAnsi" w:hAnsiTheme="majorHAnsi" w:cstheme="majorHAnsi"/>
          <w:sz w:val="22"/>
          <w:szCs w:val="22"/>
        </w:rPr>
        <w:t xml:space="preserve"> (National), Urban Land Institute, Washington, DC, 2014 and "Building Healthy Places Toolbox" (Southern California Specific), Urban Land Institute-Los Angeles, Los Angeles, CA, 2016.</w:t>
      </w:r>
    </w:p>
    <w:p w14:paraId="0F976EC8" w14:textId="4F1BCA60" w:rsidR="00DD74F5" w:rsidRPr="00CD6F2A" w:rsidRDefault="00CD6F2A" w:rsidP="00CD6F2A">
      <w:pPr>
        <w:spacing w:before="0" w:after="40"/>
        <w:jc w:val="both"/>
        <w:rPr>
          <w:rFonts w:asciiTheme="majorHAnsi" w:hAnsiTheme="majorHAnsi" w:cstheme="majorHAnsi"/>
          <w:sz w:val="22"/>
          <w:szCs w:val="22"/>
        </w:rPr>
      </w:pPr>
      <w:r w:rsidRPr="00CD6F2A">
        <w:rPr>
          <w:rFonts w:asciiTheme="majorHAnsi" w:hAnsiTheme="majorHAnsi" w:cstheme="majorHAnsi"/>
          <w:sz w:val="22"/>
          <w:szCs w:val="22"/>
        </w:rPr>
        <w:t xml:space="preserve">For those with a strong interest in real estate, an optional source book (not required) is </w:t>
      </w:r>
      <w:proofErr w:type="spellStart"/>
      <w:r w:rsidRPr="00CD6F2A">
        <w:rPr>
          <w:rFonts w:asciiTheme="majorHAnsi" w:hAnsiTheme="majorHAnsi" w:cstheme="majorHAnsi"/>
          <w:sz w:val="22"/>
          <w:szCs w:val="22"/>
        </w:rPr>
        <w:t>Peiser</w:t>
      </w:r>
      <w:proofErr w:type="spellEnd"/>
      <w:r w:rsidRPr="00CD6F2A">
        <w:rPr>
          <w:rFonts w:asciiTheme="majorHAnsi" w:hAnsiTheme="majorHAnsi" w:cstheme="majorHAnsi"/>
          <w:sz w:val="22"/>
          <w:szCs w:val="22"/>
        </w:rPr>
        <w:t xml:space="preserve">, Richard B. and Hamilton, David: </w:t>
      </w:r>
      <w:r w:rsidRPr="00CD6F2A">
        <w:rPr>
          <w:rFonts w:asciiTheme="majorHAnsi" w:hAnsiTheme="majorHAnsi" w:cstheme="majorHAnsi"/>
          <w:i/>
          <w:sz w:val="22"/>
          <w:szCs w:val="22"/>
        </w:rPr>
        <w:t>Professional Real Estate Development</w:t>
      </w:r>
      <w:r w:rsidRPr="00CD6F2A">
        <w:rPr>
          <w:rFonts w:asciiTheme="majorHAnsi" w:hAnsiTheme="majorHAnsi" w:cstheme="majorHAnsi"/>
          <w:sz w:val="22"/>
          <w:szCs w:val="22"/>
        </w:rPr>
        <w:t>, Third Edition, Dearborn Financial Publishing and The Urban Land Institute, Washington, DC, 2012. This textbook describes the development process, as do various chapters in Blakely and Leigh Green. For those whose interest is environmental justice, a second optional source book (beyond the one selected reading</w:t>
      </w:r>
      <w:r w:rsidR="004825AD">
        <w:rPr>
          <w:rFonts w:asciiTheme="majorHAnsi" w:hAnsiTheme="majorHAnsi" w:cstheme="majorHAnsi"/>
          <w:sz w:val="22"/>
          <w:szCs w:val="22"/>
        </w:rPr>
        <w:t xml:space="preserve"> assignment</w:t>
      </w:r>
      <w:r w:rsidRPr="00CD6F2A">
        <w:rPr>
          <w:rFonts w:asciiTheme="majorHAnsi" w:hAnsiTheme="majorHAnsi" w:cstheme="majorHAnsi"/>
          <w:sz w:val="22"/>
          <w:szCs w:val="22"/>
        </w:rPr>
        <w:t xml:space="preserve">) is Benner, Chris and Pastor, Manuel: </w:t>
      </w:r>
      <w:r w:rsidRPr="00CD6F2A">
        <w:rPr>
          <w:rFonts w:asciiTheme="majorHAnsi" w:hAnsiTheme="majorHAnsi" w:cstheme="majorHAnsi"/>
          <w:i/>
          <w:sz w:val="22"/>
          <w:szCs w:val="22"/>
        </w:rPr>
        <w:t>Just Growth: Inclusion and Prosperity in America’s Metropolitan Regions</w:t>
      </w:r>
      <w:r w:rsidRPr="00CD6F2A">
        <w:rPr>
          <w:rFonts w:asciiTheme="majorHAnsi" w:hAnsiTheme="majorHAnsi" w:cstheme="majorHAnsi"/>
          <w:sz w:val="22"/>
          <w:szCs w:val="22"/>
        </w:rPr>
        <w:t>, Regional Studies Association/Routledge, New York, NY, 2012.</w:t>
      </w:r>
    </w:p>
    <w:p w14:paraId="3F819A1D" w14:textId="77777777" w:rsidR="00DD74F5" w:rsidRDefault="001A11B3">
      <w:pPr>
        <w:pStyle w:val="Heading2"/>
      </w:pPr>
      <w:r>
        <w:t>GRADING AND COURSEWORK POLICIES</w:t>
      </w:r>
    </w:p>
    <w:p w14:paraId="6A0231DC" w14:textId="5493FA7B" w:rsidR="00DD74F5" w:rsidRDefault="001A11B3" w:rsidP="00CD6F2A">
      <w:pPr>
        <w:pStyle w:val="Heading3"/>
        <w:spacing w:before="0" w:after="40"/>
        <w:rPr>
          <w:rFonts w:asciiTheme="majorHAnsi" w:hAnsiTheme="majorHAnsi" w:cstheme="majorHAnsi"/>
          <w:sz w:val="22"/>
          <w:szCs w:val="22"/>
        </w:rPr>
      </w:pPr>
      <w:r w:rsidRPr="00CD6F2A">
        <w:rPr>
          <w:rFonts w:asciiTheme="majorHAnsi" w:hAnsiTheme="majorHAnsi" w:cstheme="majorHAnsi"/>
          <w:sz w:val="22"/>
          <w:szCs w:val="22"/>
        </w:rPr>
        <w:t>Grade Breakdown</w:t>
      </w:r>
    </w:p>
    <w:p w14:paraId="4BFD35A5" w14:textId="0E0D518F" w:rsidR="00AF7CD1" w:rsidRPr="00AF7CD1" w:rsidRDefault="00AF7CD1" w:rsidP="00AF7CD1">
      <w:r>
        <w:rPr>
          <w:noProof/>
        </w:rPr>
        <w:drawing>
          <wp:inline distT="0" distB="0" distL="0" distR="0" wp14:anchorId="2FFE91CC" wp14:editId="542C1773">
            <wp:extent cx="4572000" cy="2743200"/>
            <wp:effectExtent l="0" t="0" r="0" b="0"/>
            <wp:docPr id="3" name="Chart 3">
              <a:extLst xmlns:a="http://schemas.openxmlformats.org/drawingml/2006/main">
                <a:ext uri="{FF2B5EF4-FFF2-40B4-BE49-F238E27FC236}">
                  <a16:creationId xmlns:a16="http://schemas.microsoft.com/office/drawing/2014/main" id="{2AC20111-6D86-C9E8-1C4B-F6C3DD246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807092" w14:textId="77777777" w:rsidR="00DD74F5" w:rsidRPr="00CD6F2A" w:rsidRDefault="00DD74F5" w:rsidP="00CD6F2A">
      <w:pPr>
        <w:spacing w:before="0" w:after="40"/>
        <w:jc w:val="center"/>
        <w:rPr>
          <w:rFonts w:asciiTheme="majorHAnsi" w:hAnsiTheme="majorHAnsi" w:cstheme="majorHAnsi"/>
          <w:sz w:val="22"/>
          <w:szCs w:val="22"/>
        </w:rPr>
      </w:pPr>
    </w:p>
    <w:p w14:paraId="616B560C" w14:textId="58558837" w:rsidR="00DD74F5" w:rsidRPr="00CD6F2A" w:rsidRDefault="001A11B3" w:rsidP="00CD6F2A">
      <w:pPr>
        <w:spacing w:before="0" w:after="40"/>
        <w:rPr>
          <w:rFonts w:asciiTheme="majorHAnsi" w:hAnsiTheme="majorHAnsi" w:cstheme="majorHAnsi"/>
          <w:sz w:val="22"/>
          <w:szCs w:val="22"/>
        </w:rPr>
      </w:pPr>
      <w:r w:rsidRPr="00CD6F2A">
        <w:rPr>
          <w:rFonts w:asciiTheme="majorHAnsi" w:hAnsiTheme="majorHAnsi" w:cstheme="majorHAnsi"/>
          <w:sz w:val="22"/>
          <w:szCs w:val="22"/>
        </w:rPr>
        <w:t>This course uses a percent-base grading schema, as shown below.</w:t>
      </w:r>
    </w:p>
    <w:tbl>
      <w:tblPr>
        <w:tblStyle w:val="1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D74F5" w:rsidRPr="00CD6F2A" w14:paraId="375A01B4" w14:textId="77777777">
        <w:tc>
          <w:tcPr>
            <w:tcW w:w="4675" w:type="dxa"/>
            <w:tcBorders>
              <w:bottom w:val="nil"/>
            </w:tcBorders>
            <w:shd w:val="clear" w:color="auto" w:fill="D9D9D9"/>
          </w:tcPr>
          <w:p w14:paraId="6DD0EF5C" w14:textId="77777777" w:rsidR="00DD74F5" w:rsidRPr="00CD6F2A" w:rsidRDefault="001A11B3" w:rsidP="00CD6F2A">
            <w:pPr>
              <w:spacing w:before="0" w:after="40"/>
              <w:jc w:val="center"/>
              <w:rPr>
                <w:rFonts w:asciiTheme="majorHAnsi" w:hAnsiTheme="majorHAnsi" w:cstheme="majorHAnsi"/>
                <w:color w:val="000000"/>
                <w:sz w:val="22"/>
                <w:szCs w:val="22"/>
              </w:rPr>
            </w:pPr>
            <w:r w:rsidRPr="00CD6F2A">
              <w:rPr>
                <w:rFonts w:asciiTheme="majorHAnsi" w:hAnsiTheme="majorHAnsi" w:cstheme="majorHAnsi"/>
                <w:color w:val="000000"/>
                <w:sz w:val="22"/>
                <w:szCs w:val="22"/>
              </w:rPr>
              <w:t>Category</w:t>
            </w:r>
          </w:p>
        </w:tc>
        <w:tc>
          <w:tcPr>
            <w:tcW w:w="4675" w:type="dxa"/>
            <w:tcBorders>
              <w:bottom w:val="nil"/>
            </w:tcBorders>
            <w:shd w:val="clear" w:color="auto" w:fill="D9D9D9"/>
          </w:tcPr>
          <w:p w14:paraId="037B96EF" w14:textId="77777777" w:rsidR="00DD74F5" w:rsidRPr="00CD6F2A" w:rsidRDefault="001A11B3" w:rsidP="00CD6F2A">
            <w:pPr>
              <w:spacing w:before="0" w:after="40"/>
              <w:jc w:val="center"/>
              <w:rPr>
                <w:rFonts w:asciiTheme="majorHAnsi" w:hAnsiTheme="majorHAnsi" w:cstheme="majorHAnsi"/>
                <w:color w:val="000000"/>
                <w:sz w:val="22"/>
                <w:szCs w:val="22"/>
              </w:rPr>
            </w:pPr>
            <w:r w:rsidRPr="00CD6F2A">
              <w:rPr>
                <w:rFonts w:asciiTheme="majorHAnsi" w:hAnsiTheme="majorHAnsi" w:cstheme="majorHAnsi"/>
                <w:color w:val="000000"/>
                <w:sz w:val="22"/>
                <w:szCs w:val="22"/>
              </w:rPr>
              <w:t xml:space="preserve">Percentage </w:t>
            </w:r>
          </w:p>
        </w:tc>
      </w:tr>
      <w:tr w:rsidR="00DD74F5" w:rsidRPr="00CD6F2A" w14:paraId="23CFED7C" w14:textId="77777777">
        <w:tc>
          <w:tcPr>
            <w:tcW w:w="4675" w:type="dxa"/>
            <w:tcBorders>
              <w:right w:val="nil"/>
            </w:tcBorders>
            <w:shd w:val="clear" w:color="auto" w:fill="auto"/>
          </w:tcPr>
          <w:p w14:paraId="130016AF" w14:textId="56A0CEA7" w:rsidR="00DD74F5" w:rsidRPr="00CD6F2A" w:rsidRDefault="00CD6F2A"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In </w:t>
            </w:r>
            <w:r w:rsidR="001A11B3" w:rsidRPr="00CD6F2A">
              <w:rPr>
                <w:rFonts w:asciiTheme="majorHAnsi" w:hAnsiTheme="majorHAnsi" w:cstheme="majorHAnsi"/>
                <w:color w:val="000000"/>
                <w:sz w:val="22"/>
                <w:szCs w:val="22"/>
              </w:rPr>
              <w:t>Class Discussion</w:t>
            </w:r>
          </w:p>
        </w:tc>
        <w:tc>
          <w:tcPr>
            <w:tcW w:w="4675" w:type="dxa"/>
            <w:shd w:val="clear" w:color="auto" w:fill="auto"/>
          </w:tcPr>
          <w:p w14:paraId="0572E536" w14:textId="7FA25445" w:rsidR="00DD74F5" w:rsidRPr="00CD6F2A" w:rsidRDefault="00F95A4E"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10</w:t>
            </w:r>
          </w:p>
        </w:tc>
      </w:tr>
      <w:tr w:rsidR="00DD74F5" w:rsidRPr="00CD6F2A" w14:paraId="6AD6D0AD" w14:textId="77777777">
        <w:tc>
          <w:tcPr>
            <w:tcW w:w="4675" w:type="dxa"/>
            <w:tcBorders>
              <w:right w:val="nil"/>
            </w:tcBorders>
            <w:shd w:val="clear" w:color="auto" w:fill="auto"/>
          </w:tcPr>
          <w:p w14:paraId="7AD66F9B" w14:textId="46E5690C" w:rsidR="00DD74F5" w:rsidRPr="00CD6F2A" w:rsidRDefault="00CD6F2A"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Written</w:t>
            </w:r>
            <w:r w:rsidR="001A11B3" w:rsidRPr="00CD6F2A">
              <w:rPr>
                <w:rFonts w:asciiTheme="majorHAnsi" w:hAnsiTheme="majorHAnsi" w:cstheme="majorHAnsi"/>
                <w:color w:val="000000"/>
                <w:sz w:val="22"/>
                <w:szCs w:val="22"/>
              </w:rPr>
              <w:t xml:space="preserve"> Assignments</w:t>
            </w:r>
          </w:p>
        </w:tc>
        <w:tc>
          <w:tcPr>
            <w:tcW w:w="4675" w:type="dxa"/>
            <w:shd w:val="clear" w:color="auto" w:fill="auto"/>
          </w:tcPr>
          <w:p w14:paraId="0F848B0B" w14:textId="7798F5F0" w:rsidR="00DD74F5" w:rsidRPr="00CD6F2A" w:rsidRDefault="00F95A4E"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10</w:t>
            </w:r>
          </w:p>
        </w:tc>
      </w:tr>
      <w:tr w:rsidR="00DD74F5" w:rsidRPr="00CD6F2A" w14:paraId="063E289F" w14:textId="77777777">
        <w:tc>
          <w:tcPr>
            <w:tcW w:w="4675" w:type="dxa"/>
            <w:tcBorders>
              <w:right w:val="nil"/>
            </w:tcBorders>
            <w:shd w:val="clear" w:color="auto" w:fill="auto"/>
          </w:tcPr>
          <w:p w14:paraId="4E107914" w14:textId="077B941C" w:rsidR="00DD74F5" w:rsidRPr="00CD6F2A" w:rsidRDefault="00CD6F2A" w:rsidP="00CD6F2A">
            <w:pPr>
              <w:spacing w:before="0" w:after="40"/>
              <w:jc w:val="center"/>
              <w:rPr>
                <w:rFonts w:asciiTheme="majorHAnsi" w:hAnsiTheme="majorHAnsi" w:cstheme="majorHAnsi"/>
                <w:color w:val="000000"/>
                <w:sz w:val="22"/>
                <w:szCs w:val="22"/>
              </w:rPr>
            </w:pPr>
            <w:r w:rsidRPr="00CD6F2A">
              <w:rPr>
                <w:rFonts w:asciiTheme="majorHAnsi" w:hAnsiTheme="majorHAnsi" w:cstheme="majorHAnsi"/>
                <w:color w:val="000000"/>
                <w:sz w:val="22"/>
                <w:szCs w:val="22"/>
              </w:rPr>
              <w:t>Midterm</w:t>
            </w:r>
            <w:r>
              <w:rPr>
                <w:rFonts w:asciiTheme="majorHAnsi" w:hAnsiTheme="majorHAnsi" w:cstheme="majorHAnsi"/>
                <w:color w:val="000000"/>
                <w:sz w:val="22"/>
                <w:szCs w:val="22"/>
              </w:rPr>
              <w:t xml:space="preserve"> Project (Team)</w:t>
            </w:r>
          </w:p>
        </w:tc>
        <w:tc>
          <w:tcPr>
            <w:tcW w:w="4675" w:type="dxa"/>
            <w:shd w:val="clear" w:color="auto" w:fill="auto"/>
          </w:tcPr>
          <w:p w14:paraId="6901D465" w14:textId="35CB1BC7" w:rsidR="00DD74F5" w:rsidRPr="00CD6F2A" w:rsidRDefault="00F95A4E"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20</w:t>
            </w:r>
          </w:p>
        </w:tc>
      </w:tr>
      <w:tr w:rsidR="00DD74F5" w:rsidRPr="00CD6F2A" w14:paraId="1A611ABD" w14:textId="77777777">
        <w:tc>
          <w:tcPr>
            <w:tcW w:w="4675" w:type="dxa"/>
            <w:tcBorders>
              <w:right w:val="nil"/>
            </w:tcBorders>
            <w:shd w:val="clear" w:color="auto" w:fill="auto"/>
          </w:tcPr>
          <w:p w14:paraId="19A90DE4" w14:textId="47C02FB3" w:rsidR="00DD74F5" w:rsidRPr="00CD6F2A" w:rsidRDefault="00CD6F2A"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Final Project (Team)</w:t>
            </w:r>
          </w:p>
        </w:tc>
        <w:tc>
          <w:tcPr>
            <w:tcW w:w="4675" w:type="dxa"/>
            <w:shd w:val="clear" w:color="auto" w:fill="auto"/>
          </w:tcPr>
          <w:p w14:paraId="0586AB2A" w14:textId="77777777" w:rsidR="00DD74F5" w:rsidRPr="00CD6F2A" w:rsidRDefault="001A11B3" w:rsidP="00CD6F2A">
            <w:pPr>
              <w:spacing w:before="0" w:after="40"/>
              <w:jc w:val="center"/>
              <w:rPr>
                <w:rFonts w:asciiTheme="majorHAnsi" w:hAnsiTheme="majorHAnsi" w:cstheme="majorHAnsi"/>
                <w:color w:val="000000"/>
                <w:sz w:val="22"/>
                <w:szCs w:val="22"/>
              </w:rPr>
            </w:pPr>
            <w:r w:rsidRPr="00CD6F2A">
              <w:rPr>
                <w:rFonts w:asciiTheme="majorHAnsi" w:hAnsiTheme="majorHAnsi" w:cstheme="majorHAnsi"/>
                <w:color w:val="000000"/>
                <w:sz w:val="22"/>
                <w:szCs w:val="22"/>
              </w:rPr>
              <w:t>20</w:t>
            </w:r>
          </w:p>
        </w:tc>
      </w:tr>
      <w:tr w:rsidR="00DD74F5" w:rsidRPr="00CD6F2A" w14:paraId="0755282A" w14:textId="77777777">
        <w:tc>
          <w:tcPr>
            <w:tcW w:w="4675" w:type="dxa"/>
            <w:tcBorders>
              <w:right w:val="nil"/>
            </w:tcBorders>
            <w:shd w:val="clear" w:color="auto" w:fill="auto"/>
          </w:tcPr>
          <w:p w14:paraId="1A4B8C25" w14:textId="7D22EE4C" w:rsidR="00DD74F5" w:rsidRPr="00CD6F2A" w:rsidRDefault="001A11B3" w:rsidP="00CD6F2A">
            <w:pPr>
              <w:spacing w:before="0" w:after="40"/>
              <w:jc w:val="center"/>
              <w:rPr>
                <w:rFonts w:asciiTheme="majorHAnsi" w:hAnsiTheme="majorHAnsi" w:cstheme="majorHAnsi"/>
                <w:color w:val="000000"/>
                <w:sz w:val="22"/>
                <w:szCs w:val="22"/>
              </w:rPr>
            </w:pPr>
            <w:r w:rsidRPr="00CD6F2A">
              <w:rPr>
                <w:rFonts w:asciiTheme="majorHAnsi" w:hAnsiTheme="majorHAnsi" w:cstheme="majorHAnsi"/>
                <w:color w:val="000000"/>
                <w:sz w:val="22"/>
                <w:szCs w:val="22"/>
              </w:rPr>
              <w:t xml:space="preserve">Final </w:t>
            </w:r>
            <w:r w:rsidR="00CD6F2A">
              <w:rPr>
                <w:rFonts w:asciiTheme="majorHAnsi" w:hAnsiTheme="majorHAnsi" w:cstheme="majorHAnsi"/>
                <w:color w:val="000000"/>
                <w:sz w:val="22"/>
                <w:szCs w:val="22"/>
              </w:rPr>
              <w:t>Paper</w:t>
            </w:r>
          </w:p>
        </w:tc>
        <w:tc>
          <w:tcPr>
            <w:tcW w:w="4675" w:type="dxa"/>
            <w:shd w:val="clear" w:color="auto" w:fill="auto"/>
          </w:tcPr>
          <w:p w14:paraId="5F4C25DB" w14:textId="69638578" w:rsidR="00DD74F5" w:rsidRPr="00CD6F2A" w:rsidRDefault="00F95A4E"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20</w:t>
            </w:r>
          </w:p>
        </w:tc>
      </w:tr>
      <w:tr w:rsidR="00CD6F2A" w:rsidRPr="00CD6F2A" w14:paraId="69B5E72B" w14:textId="77777777">
        <w:tc>
          <w:tcPr>
            <w:tcW w:w="4675" w:type="dxa"/>
            <w:tcBorders>
              <w:right w:val="nil"/>
            </w:tcBorders>
            <w:shd w:val="clear" w:color="auto" w:fill="auto"/>
          </w:tcPr>
          <w:p w14:paraId="06CFE9AE" w14:textId="2D7FA6D2" w:rsidR="00CD6F2A" w:rsidRPr="00CD6F2A" w:rsidRDefault="00CD6F2A" w:rsidP="00CD6F2A">
            <w:pPr>
              <w:spacing w:before="0" w:after="40"/>
              <w:jc w:val="center"/>
              <w:rPr>
                <w:rFonts w:asciiTheme="majorHAnsi" w:hAnsiTheme="majorHAnsi" w:cstheme="majorHAnsi"/>
                <w:color w:val="000000"/>
                <w:sz w:val="22"/>
                <w:szCs w:val="22"/>
              </w:rPr>
            </w:pPr>
            <w:r>
              <w:rPr>
                <w:rFonts w:asciiTheme="majorHAnsi" w:hAnsiTheme="majorHAnsi" w:cstheme="majorHAnsi"/>
                <w:color w:val="000000"/>
                <w:sz w:val="22"/>
                <w:szCs w:val="22"/>
              </w:rPr>
              <w:t>Final Examination</w:t>
            </w:r>
          </w:p>
        </w:tc>
        <w:tc>
          <w:tcPr>
            <w:tcW w:w="4675" w:type="dxa"/>
            <w:shd w:val="clear" w:color="auto" w:fill="auto"/>
          </w:tcPr>
          <w:p w14:paraId="71447127" w14:textId="7F653DE9" w:rsidR="00CD6F2A" w:rsidRPr="00E172DE" w:rsidRDefault="00F95A4E" w:rsidP="00CD6F2A">
            <w:pPr>
              <w:spacing w:before="0" w:after="40"/>
              <w:jc w:val="center"/>
              <w:rPr>
                <w:rFonts w:asciiTheme="majorHAnsi" w:hAnsiTheme="majorHAnsi" w:cstheme="majorHAnsi"/>
                <w:bCs/>
                <w:color w:val="000000"/>
                <w:sz w:val="22"/>
                <w:szCs w:val="22"/>
              </w:rPr>
            </w:pPr>
            <w:r w:rsidRPr="00E172DE">
              <w:rPr>
                <w:rFonts w:asciiTheme="majorHAnsi" w:hAnsiTheme="majorHAnsi" w:cstheme="majorHAnsi"/>
                <w:bCs/>
                <w:color w:val="000000"/>
                <w:sz w:val="22"/>
                <w:szCs w:val="22"/>
              </w:rPr>
              <w:t>20</w:t>
            </w:r>
          </w:p>
        </w:tc>
      </w:tr>
      <w:tr w:rsidR="00DD74F5" w:rsidRPr="00CD6F2A" w14:paraId="2EE5A96E" w14:textId="77777777">
        <w:tc>
          <w:tcPr>
            <w:tcW w:w="4675" w:type="dxa"/>
            <w:tcBorders>
              <w:right w:val="nil"/>
            </w:tcBorders>
            <w:shd w:val="clear" w:color="auto" w:fill="auto"/>
          </w:tcPr>
          <w:p w14:paraId="68F2926C" w14:textId="77777777" w:rsidR="00DD74F5" w:rsidRPr="00CD6F2A" w:rsidRDefault="001A11B3" w:rsidP="00CD6F2A">
            <w:pPr>
              <w:spacing w:before="0" w:after="40"/>
              <w:jc w:val="center"/>
              <w:rPr>
                <w:rFonts w:asciiTheme="majorHAnsi" w:hAnsiTheme="majorHAnsi" w:cstheme="majorHAnsi"/>
                <w:color w:val="000000"/>
                <w:sz w:val="22"/>
                <w:szCs w:val="22"/>
              </w:rPr>
            </w:pPr>
            <w:r w:rsidRPr="00CD6F2A">
              <w:rPr>
                <w:rFonts w:asciiTheme="majorHAnsi" w:hAnsiTheme="majorHAnsi" w:cstheme="majorHAnsi"/>
                <w:color w:val="000000"/>
                <w:sz w:val="22"/>
                <w:szCs w:val="22"/>
              </w:rPr>
              <w:t>Total</w:t>
            </w:r>
          </w:p>
        </w:tc>
        <w:tc>
          <w:tcPr>
            <w:tcW w:w="4675" w:type="dxa"/>
            <w:shd w:val="clear" w:color="auto" w:fill="auto"/>
          </w:tcPr>
          <w:p w14:paraId="3CE817CB" w14:textId="77777777" w:rsidR="00DD74F5" w:rsidRPr="00CD6F2A" w:rsidRDefault="001A11B3" w:rsidP="00CD6F2A">
            <w:pPr>
              <w:spacing w:before="0" w:after="40"/>
              <w:jc w:val="center"/>
              <w:rPr>
                <w:rFonts w:asciiTheme="majorHAnsi" w:hAnsiTheme="majorHAnsi" w:cstheme="majorHAnsi"/>
                <w:b/>
                <w:color w:val="000000"/>
                <w:sz w:val="22"/>
                <w:szCs w:val="22"/>
              </w:rPr>
            </w:pPr>
            <w:r w:rsidRPr="00CD6F2A">
              <w:rPr>
                <w:rFonts w:asciiTheme="majorHAnsi" w:hAnsiTheme="majorHAnsi" w:cstheme="majorHAnsi"/>
                <w:b/>
                <w:color w:val="000000"/>
                <w:sz w:val="22"/>
                <w:szCs w:val="22"/>
              </w:rPr>
              <w:t>100%</w:t>
            </w:r>
          </w:p>
        </w:tc>
      </w:tr>
    </w:tbl>
    <w:p w14:paraId="3BA19CE7" w14:textId="77777777" w:rsidR="00DD74F5" w:rsidRPr="00CD6F2A" w:rsidRDefault="00DD74F5" w:rsidP="00CD6F2A">
      <w:pPr>
        <w:spacing w:before="0" w:after="40"/>
        <w:jc w:val="center"/>
        <w:rPr>
          <w:rFonts w:asciiTheme="majorHAnsi" w:hAnsiTheme="majorHAnsi" w:cstheme="majorHAnsi"/>
          <w:sz w:val="22"/>
          <w:szCs w:val="22"/>
        </w:rPr>
      </w:pPr>
    </w:p>
    <w:p w14:paraId="420D2FBF" w14:textId="71972D2D" w:rsidR="00DD74F5" w:rsidRDefault="001A11B3" w:rsidP="00CD6F2A">
      <w:pPr>
        <w:pStyle w:val="Heading3"/>
        <w:spacing w:before="0" w:after="40"/>
        <w:rPr>
          <w:rFonts w:asciiTheme="majorHAnsi" w:hAnsiTheme="majorHAnsi" w:cstheme="majorHAnsi"/>
          <w:sz w:val="22"/>
          <w:szCs w:val="22"/>
        </w:rPr>
      </w:pPr>
      <w:r w:rsidRPr="00CD6F2A">
        <w:rPr>
          <w:rFonts w:asciiTheme="majorHAnsi" w:hAnsiTheme="majorHAnsi" w:cstheme="majorHAnsi"/>
          <w:sz w:val="22"/>
          <w:szCs w:val="22"/>
        </w:rPr>
        <w:t>Grade Category Descriptions</w:t>
      </w:r>
    </w:p>
    <w:p w14:paraId="3F2DE561" w14:textId="77777777" w:rsidR="00AF7CD1" w:rsidRPr="00586332" w:rsidRDefault="00AF7CD1" w:rsidP="008C340A">
      <w:pPr>
        <w:spacing w:before="0" w:after="40"/>
        <w:jc w:val="both"/>
        <w:rPr>
          <w:b/>
          <w:iCs/>
          <w:color w:val="000000"/>
          <w:sz w:val="22"/>
          <w:szCs w:val="22"/>
        </w:rPr>
      </w:pPr>
      <w:r w:rsidRPr="00586332">
        <w:rPr>
          <w:b/>
          <w:iCs/>
          <w:color w:val="000000"/>
          <w:sz w:val="22"/>
          <w:szCs w:val="22"/>
        </w:rPr>
        <w:t xml:space="preserve">Description and Assessment of Assignments </w:t>
      </w:r>
    </w:p>
    <w:p w14:paraId="5EC599FF" w14:textId="58FBF848" w:rsidR="00AF7CD1" w:rsidRDefault="00AF7CD1" w:rsidP="008C340A">
      <w:pPr>
        <w:spacing w:before="0" w:after="40"/>
        <w:jc w:val="both"/>
        <w:rPr>
          <w:iCs/>
          <w:color w:val="000000"/>
          <w:sz w:val="22"/>
          <w:szCs w:val="22"/>
        </w:rPr>
      </w:pPr>
      <w:r w:rsidRPr="00586332">
        <w:rPr>
          <w:iCs/>
          <w:color w:val="000000"/>
          <w:sz w:val="22"/>
          <w:szCs w:val="22"/>
        </w:rPr>
        <w:t xml:space="preserve">The focus of the class will be </w:t>
      </w:r>
      <w:r>
        <w:rPr>
          <w:iCs/>
          <w:color w:val="000000"/>
          <w:sz w:val="22"/>
          <w:szCs w:val="22"/>
        </w:rPr>
        <w:t>in</w:t>
      </w:r>
      <w:r w:rsidR="008C340A">
        <w:rPr>
          <w:iCs/>
          <w:color w:val="000000"/>
          <w:sz w:val="22"/>
          <w:szCs w:val="22"/>
        </w:rPr>
        <w:t>-</w:t>
      </w:r>
      <w:r>
        <w:rPr>
          <w:iCs/>
          <w:color w:val="000000"/>
          <w:sz w:val="22"/>
          <w:szCs w:val="22"/>
        </w:rPr>
        <w:t xml:space="preserve">class discussions of </w:t>
      </w:r>
      <w:r w:rsidR="008C340A">
        <w:rPr>
          <w:iCs/>
          <w:color w:val="000000"/>
          <w:sz w:val="22"/>
          <w:szCs w:val="22"/>
        </w:rPr>
        <w:t xml:space="preserve">readings and </w:t>
      </w:r>
      <w:r>
        <w:rPr>
          <w:iCs/>
          <w:color w:val="000000"/>
          <w:sz w:val="22"/>
          <w:szCs w:val="22"/>
        </w:rPr>
        <w:t xml:space="preserve">relevant current issues, along with </w:t>
      </w:r>
      <w:r w:rsidRPr="00586332">
        <w:rPr>
          <w:iCs/>
          <w:color w:val="000000"/>
          <w:sz w:val="22"/>
          <w:szCs w:val="22"/>
        </w:rPr>
        <w:t>preparation of the mid</w:t>
      </w:r>
      <w:r>
        <w:rPr>
          <w:iCs/>
          <w:color w:val="000000"/>
          <w:sz w:val="22"/>
          <w:szCs w:val="22"/>
        </w:rPr>
        <w:t>-</w:t>
      </w:r>
      <w:r w:rsidRPr="00586332">
        <w:rPr>
          <w:iCs/>
          <w:color w:val="000000"/>
          <w:sz w:val="22"/>
          <w:szCs w:val="22"/>
        </w:rPr>
        <w:t>term and final project</w:t>
      </w:r>
      <w:r>
        <w:rPr>
          <w:iCs/>
          <w:color w:val="000000"/>
          <w:sz w:val="22"/>
          <w:szCs w:val="22"/>
        </w:rPr>
        <w:t xml:space="preserve">s and papers </w:t>
      </w:r>
      <w:r w:rsidR="008C340A">
        <w:rPr>
          <w:iCs/>
          <w:color w:val="000000"/>
          <w:sz w:val="22"/>
          <w:szCs w:val="22"/>
        </w:rPr>
        <w:t>(</w:t>
      </w:r>
      <w:r>
        <w:rPr>
          <w:iCs/>
          <w:color w:val="000000"/>
          <w:sz w:val="22"/>
          <w:szCs w:val="22"/>
        </w:rPr>
        <w:t>these constitute examples of the type of professional analyses and presentations required in planning and related professions</w:t>
      </w:r>
      <w:r w:rsidR="008C340A">
        <w:rPr>
          <w:iCs/>
          <w:color w:val="000000"/>
          <w:sz w:val="22"/>
          <w:szCs w:val="22"/>
        </w:rPr>
        <w:t>)</w:t>
      </w:r>
      <w:r>
        <w:rPr>
          <w:iCs/>
          <w:color w:val="000000"/>
          <w:sz w:val="22"/>
          <w:szCs w:val="22"/>
        </w:rPr>
        <w:t xml:space="preserve">. Both the mid-term and final projects consist of a team power point presentation as described more fully in the course schedule below. Midterm presentations should be a maximum of 10 minutes per team, final presentations 15 minutes (each team member is expected to participate). In addition, each student will prepare an approximately 10-page individual paper, essay or project as discussed in the Course Description above, or a </w:t>
      </w:r>
      <w:proofErr w:type="gramStart"/>
      <w:r>
        <w:rPr>
          <w:iCs/>
          <w:color w:val="000000"/>
          <w:sz w:val="22"/>
          <w:szCs w:val="22"/>
        </w:rPr>
        <w:t>3-4 page</w:t>
      </w:r>
      <w:proofErr w:type="gramEnd"/>
      <w:r>
        <w:rPr>
          <w:iCs/>
          <w:color w:val="000000"/>
          <w:sz w:val="22"/>
          <w:szCs w:val="22"/>
        </w:rPr>
        <w:t xml:space="preserve"> technical memorandum of the type typical of professional office work.  </w:t>
      </w:r>
    </w:p>
    <w:p w14:paraId="5DB1AAB8" w14:textId="77777777" w:rsidR="00AF7CD1" w:rsidRDefault="00AF7CD1" w:rsidP="008C340A">
      <w:pPr>
        <w:spacing w:before="0" w:after="40"/>
        <w:jc w:val="both"/>
        <w:rPr>
          <w:iCs/>
          <w:color w:val="000000"/>
          <w:sz w:val="22"/>
          <w:szCs w:val="22"/>
        </w:rPr>
      </w:pPr>
      <w:r>
        <w:rPr>
          <w:iCs/>
          <w:color w:val="000000"/>
          <w:sz w:val="22"/>
          <w:szCs w:val="22"/>
        </w:rPr>
        <w:t xml:space="preserve">Other assignments will be occasional short memoranda on particular topics covered in classes, some assigned and completed in class and others assigned for home completion.  </w:t>
      </w:r>
    </w:p>
    <w:p w14:paraId="03EF41F1" w14:textId="2940D24A" w:rsidR="00AF7CD1" w:rsidRPr="00586332" w:rsidRDefault="00AF7CD1" w:rsidP="008C340A">
      <w:pPr>
        <w:spacing w:before="0" w:after="40"/>
        <w:jc w:val="both"/>
        <w:rPr>
          <w:iCs/>
          <w:color w:val="000000"/>
          <w:sz w:val="22"/>
          <w:szCs w:val="22"/>
        </w:rPr>
      </w:pPr>
      <w:r w:rsidRPr="00586332">
        <w:rPr>
          <w:iCs/>
          <w:color w:val="000000"/>
          <w:sz w:val="22"/>
          <w:szCs w:val="22"/>
        </w:rPr>
        <w:t xml:space="preserve">Project grading will be based </w:t>
      </w:r>
      <w:r>
        <w:rPr>
          <w:iCs/>
          <w:color w:val="000000"/>
          <w:sz w:val="22"/>
          <w:szCs w:val="22"/>
        </w:rPr>
        <w:t xml:space="preserve">largely </w:t>
      </w:r>
      <w:r w:rsidRPr="00586332">
        <w:rPr>
          <w:iCs/>
          <w:color w:val="000000"/>
          <w:sz w:val="22"/>
          <w:szCs w:val="22"/>
        </w:rPr>
        <w:t xml:space="preserve">on </w:t>
      </w:r>
      <w:r>
        <w:rPr>
          <w:iCs/>
          <w:color w:val="000000"/>
          <w:sz w:val="22"/>
          <w:szCs w:val="22"/>
        </w:rPr>
        <w:t xml:space="preserve">(1) class participation, (2) how the mid-term and final projects </w:t>
      </w:r>
      <w:r w:rsidR="004825AD">
        <w:rPr>
          <w:iCs/>
          <w:color w:val="000000"/>
          <w:sz w:val="22"/>
          <w:szCs w:val="22"/>
        </w:rPr>
        <w:t xml:space="preserve">identify and </w:t>
      </w:r>
      <w:r>
        <w:rPr>
          <w:iCs/>
          <w:color w:val="000000"/>
          <w:sz w:val="22"/>
          <w:szCs w:val="22"/>
        </w:rPr>
        <w:t xml:space="preserve">address the conditions facing the chosen community as set forth in the team’s analysis, (3) how the recommendations in the development plan and program respond to those issues, (4) how well the individual paper or project addresses the selected issue or issues and (5) a summary final examination. </w:t>
      </w:r>
      <w:r w:rsidRPr="00586332">
        <w:rPr>
          <w:iCs/>
          <w:color w:val="000000"/>
          <w:sz w:val="22"/>
          <w:szCs w:val="22"/>
        </w:rPr>
        <w:t>Grading will also consider how well the student has included creative, analytical and f</w:t>
      </w:r>
      <w:r>
        <w:rPr>
          <w:iCs/>
          <w:color w:val="000000"/>
          <w:sz w:val="22"/>
          <w:szCs w:val="22"/>
        </w:rPr>
        <w:t>easible solutions, along with class participation, completion of other written exercises, and the final examination</w:t>
      </w:r>
      <w:r w:rsidRPr="00586332">
        <w:rPr>
          <w:iCs/>
          <w:color w:val="000000"/>
          <w:sz w:val="22"/>
          <w:szCs w:val="22"/>
        </w:rPr>
        <w:t xml:space="preserve">. </w:t>
      </w:r>
    </w:p>
    <w:p w14:paraId="0EED8676" w14:textId="77777777" w:rsidR="00DD74F5" w:rsidRPr="00CD6F2A" w:rsidRDefault="001A11B3" w:rsidP="008C340A">
      <w:pPr>
        <w:spacing w:before="0" w:after="40"/>
        <w:rPr>
          <w:rFonts w:asciiTheme="majorHAnsi" w:hAnsiTheme="majorHAnsi" w:cstheme="majorHAnsi"/>
          <w:sz w:val="22"/>
          <w:szCs w:val="22"/>
        </w:rPr>
      </w:pPr>
      <w:r w:rsidRPr="00CD6F2A">
        <w:rPr>
          <w:rFonts w:asciiTheme="majorHAnsi" w:hAnsiTheme="majorHAnsi" w:cstheme="majorHAnsi"/>
          <w:sz w:val="22"/>
          <w:szCs w:val="22"/>
        </w:rPr>
        <w:t>The following categories comprise the final grade:</w:t>
      </w:r>
    </w:p>
    <w:p w14:paraId="494C08B3" w14:textId="706F06AF" w:rsidR="00DD74F5" w:rsidRPr="00CD6F2A" w:rsidRDefault="00AF7CD1" w:rsidP="004825AD">
      <w:pPr>
        <w:spacing w:before="0" w:after="40"/>
        <w:jc w:val="both"/>
        <w:rPr>
          <w:rFonts w:asciiTheme="majorHAnsi" w:hAnsiTheme="majorHAnsi" w:cstheme="majorHAnsi"/>
          <w:b/>
          <w:sz w:val="22"/>
          <w:szCs w:val="22"/>
        </w:rPr>
      </w:pPr>
      <w:r>
        <w:rPr>
          <w:rFonts w:asciiTheme="majorHAnsi" w:hAnsiTheme="majorHAnsi" w:cstheme="majorHAnsi"/>
          <w:b/>
          <w:sz w:val="22"/>
          <w:szCs w:val="22"/>
        </w:rPr>
        <w:t>In-</w:t>
      </w:r>
      <w:r w:rsidR="001A11B3" w:rsidRPr="00CD6F2A">
        <w:rPr>
          <w:rFonts w:asciiTheme="majorHAnsi" w:hAnsiTheme="majorHAnsi" w:cstheme="majorHAnsi"/>
          <w:b/>
          <w:sz w:val="22"/>
          <w:szCs w:val="22"/>
        </w:rPr>
        <w:t>Class Discussion (</w:t>
      </w:r>
      <w:r>
        <w:rPr>
          <w:rFonts w:asciiTheme="majorHAnsi" w:hAnsiTheme="majorHAnsi" w:cstheme="majorHAnsi"/>
          <w:b/>
          <w:sz w:val="22"/>
          <w:szCs w:val="22"/>
        </w:rPr>
        <w:t>10</w:t>
      </w:r>
      <w:r w:rsidR="001A11B3" w:rsidRPr="00CD6F2A">
        <w:rPr>
          <w:rFonts w:asciiTheme="majorHAnsi" w:hAnsiTheme="majorHAnsi" w:cstheme="majorHAnsi"/>
          <w:b/>
          <w:sz w:val="22"/>
          <w:szCs w:val="22"/>
        </w:rPr>
        <w:t>%)</w:t>
      </w:r>
    </w:p>
    <w:p w14:paraId="04F69ED6" w14:textId="63A27172" w:rsidR="00DD74F5" w:rsidRPr="00CD6F2A" w:rsidRDefault="001A11B3" w:rsidP="00BC2A13">
      <w:pPr>
        <w:numPr>
          <w:ilvl w:val="0"/>
          <w:numId w:val="1"/>
        </w:numPr>
        <w:pBdr>
          <w:top w:val="nil"/>
          <w:left w:val="nil"/>
          <w:bottom w:val="nil"/>
          <w:right w:val="nil"/>
          <w:between w:val="nil"/>
        </w:pBdr>
        <w:spacing w:before="0" w:after="40"/>
        <w:jc w:val="both"/>
        <w:rPr>
          <w:rFonts w:asciiTheme="majorHAnsi" w:hAnsiTheme="majorHAnsi" w:cstheme="majorHAnsi"/>
          <w:b/>
          <w:color w:val="000000"/>
          <w:sz w:val="22"/>
          <w:szCs w:val="22"/>
        </w:rPr>
      </w:pPr>
      <w:r w:rsidRPr="00CD6F2A">
        <w:rPr>
          <w:rFonts w:asciiTheme="majorHAnsi" w:hAnsiTheme="majorHAnsi" w:cstheme="majorHAnsi"/>
          <w:color w:val="000000"/>
          <w:sz w:val="22"/>
          <w:szCs w:val="22"/>
        </w:rPr>
        <w:t xml:space="preserve">The grade in this component of the course reflects the degree to which students actively participate in class discussions.  Opportunities include responding to questions posed during </w:t>
      </w:r>
      <w:r w:rsidR="00AF7CD1">
        <w:rPr>
          <w:rFonts w:asciiTheme="majorHAnsi" w:hAnsiTheme="majorHAnsi" w:cstheme="majorHAnsi"/>
          <w:color w:val="000000"/>
          <w:sz w:val="22"/>
          <w:szCs w:val="22"/>
        </w:rPr>
        <w:t>class</w:t>
      </w:r>
      <w:r w:rsidRPr="00CD6F2A">
        <w:rPr>
          <w:rFonts w:asciiTheme="majorHAnsi" w:hAnsiTheme="majorHAnsi" w:cstheme="majorHAnsi"/>
          <w:color w:val="000000"/>
          <w:sz w:val="22"/>
          <w:szCs w:val="22"/>
        </w:rPr>
        <w:t xml:space="preserve"> sessions, bringing issues to the class discussion based on their own work which is germane to the content of that session, and taking a lead in commenting on work of other students when peer review is indicated in the session description.</w:t>
      </w:r>
      <w:r w:rsidRPr="00CD6F2A">
        <w:rPr>
          <w:rFonts w:asciiTheme="majorHAnsi" w:hAnsiTheme="majorHAnsi" w:cstheme="majorHAnsi"/>
          <w:b/>
          <w:color w:val="000000"/>
          <w:sz w:val="22"/>
          <w:szCs w:val="22"/>
        </w:rPr>
        <w:t xml:space="preserve"> </w:t>
      </w:r>
    </w:p>
    <w:p w14:paraId="04382920" w14:textId="66A49F00" w:rsidR="00DD74F5" w:rsidRPr="00CD6F2A" w:rsidRDefault="00AF7CD1" w:rsidP="004825AD">
      <w:pPr>
        <w:spacing w:before="0" w:after="40"/>
        <w:jc w:val="both"/>
        <w:rPr>
          <w:rFonts w:asciiTheme="majorHAnsi" w:hAnsiTheme="majorHAnsi" w:cstheme="majorHAnsi"/>
          <w:b/>
          <w:sz w:val="22"/>
          <w:szCs w:val="22"/>
        </w:rPr>
      </w:pPr>
      <w:r>
        <w:rPr>
          <w:rFonts w:asciiTheme="majorHAnsi" w:hAnsiTheme="majorHAnsi" w:cstheme="majorHAnsi"/>
          <w:b/>
          <w:sz w:val="22"/>
          <w:szCs w:val="22"/>
        </w:rPr>
        <w:t>Witten</w:t>
      </w:r>
      <w:r w:rsidR="001A11B3" w:rsidRPr="00CD6F2A">
        <w:rPr>
          <w:rFonts w:asciiTheme="majorHAnsi" w:hAnsiTheme="majorHAnsi" w:cstheme="majorHAnsi"/>
          <w:b/>
          <w:sz w:val="22"/>
          <w:szCs w:val="22"/>
        </w:rPr>
        <w:t xml:space="preserve"> Assignments (</w:t>
      </w:r>
      <w:r>
        <w:rPr>
          <w:rFonts w:asciiTheme="majorHAnsi" w:hAnsiTheme="majorHAnsi" w:cstheme="majorHAnsi"/>
          <w:b/>
          <w:sz w:val="22"/>
          <w:szCs w:val="22"/>
        </w:rPr>
        <w:t>1</w:t>
      </w:r>
      <w:r w:rsidR="001A11B3" w:rsidRPr="00CD6F2A">
        <w:rPr>
          <w:rFonts w:asciiTheme="majorHAnsi" w:hAnsiTheme="majorHAnsi" w:cstheme="majorHAnsi"/>
          <w:b/>
          <w:sz w:val="22"/>
          <w:szCs w:val="22"/>
        </w:rPr>
        <w:t>0%)</w:t>
      </w:r>
    </w:p>
    <w:p w14:paraId="64608A40" w14:textId="6F04DCC8" w:rsidR="008C340A" w:rsidRPr="008C340A" w:rsidRDefault="001A11B3" w:rsidP="00BC2A13">
      <w:pPr>
        <w:numPr>
          <w:ilvl w:val="0"/>
          <w:numId w:val="2"/>
        </w:numPr>
        <w:spacing w:before="0" w:after="40"/>
        <w:jc w:val="both"/>
        <w:rPr>
          <w:rFonts w:asciiTheme="majorHAnsi" w:hAnsiTheme="majorHAnsi" w:cstheme="majorHAnsi"/>
          <w:b/>
          <w:sz w:val="22"/>
          <w:szCs w:val="22"/>
        </w:rPr>
      </w:pPr>
      <w:r w:rsidRPr="00CD6F2A">
        <w:rPr>
          <w:rFonts w:asciiTheme="majorHAnsi" w:hAnsiTheme="majorHAnsi" w:cstheme="majorHAnsi"/>
          <w:sz w:val="22"/>
          <w:szCs w:val="22"/>
        </w:rPr>
        <w:t xml:space="preserve">In </w:t>
      </w:r>
      <w:r w:rsidR="00AF7CD1">
        <w:rPr>
          <w:rFonts w:asciiTheme="majorHAnsi" w:hAnsiTheme="majorHAnsi" w:cstheme="majorHAnsi"/>
          <w:sz w:val="22"/>
          <w:szCs w:val="22"/>
        </w:rPr>
        <w:t>specific classes</w:t>
      </w:r>
      <w:r w:rsidRPr="00CD6F2A">
        <w:rPr>
          <w:rFonts w:asciiTheme="majorHAnsi" w:hAnsiTheme="majorHAnsi" w:cstheme="majorHAnsi"/>
          <w:sz w:val="22"/>
          <w:szCs w:val="22"/>
        </w:rPr>
        <w:t xml:space="preserve">, students will complete </w:t>
      </w:r>
      <w:r w:rsidR="00AF7CD1">
        <w:rPr>
          <w:rFonts w:asciiTheme="majorHAnsi" w:hAnsiTheme="majorHAnsi" w:cstheme="majorHAnsi"/>
          <w:sz w:val="22"/>
          <w:szCs w:val="22"/>
        </w:rPr>
        <w:t>an assignment, either in-class or take home</w:t>
      </w:r>
      <w:r w:rsidRPr="00CD6F2A">
        <w:rPr>
          <w:rFonts w:asciiTheme="majorHAnsi" w:hAnsiTheme="majorHAnsi" w:cstheme="majorHAnsi"/>
          <w:sz w:val="22"/>
          <w:szCs w:val="22"/>
        </w:rPr>
        <w:t>.</w:t>
      </w:r>
      <w:r w:rsidR="004825AD">
        <w:rPr>
          <w:rFonts w:asciiTheme="majorHAnsi" w:hAnsiTheme="majorHAnsi" w:cstheme="majorHAnsi"/>
          <w:sz w:val="22"/>
          <w:szCs w:val="22"/>
        </w:rPr>
        <w:t xml:space="preserve">  These are short responses to issues covered in those classes.</w:t>
      </w:r>
      <w:r w:rsidRPr="00CD6F2A">
        <w:rPr>
          <w:rFonts w:asciiTheme="majorHAnsi" w:hAnsiTheme="majorHAnsi" w:cstheme="majorHAnsi"/>
          <w:sz w:val="22"/>
          <w:szCs w:val="22"/>
        </w:rPr>
        <w:t xml:space="preserve"> </w:t>
      </w:r>
    </w:p>
    <w:p w14:paraId="4662858E" w14:textId="295AFC7B" w:rsidR="00DD74F5" w:rsidRPr="00CD6F2A" w:rsidRDefault="001A11B3" w:rsidP="004825AD">
      <w:pPr>
        <w:spacing w:before="0" w:after="40"/>
        <w:ind w:left="360"/>
        <w:jc w:val="both"/>
        <w:rPr>
          <w:rFonts w:asciiTheme="majorHAnsi" w:hAnsiTheme="majorHAnsi" w:cstheme="majorHAnsi"/>
          <w:b/>
          <w:sz w:val="22"/>
          <w:szCs w:val="22"/>
        </w:rPr>
      </w:pPr>
      <w:r w:rsidRPr="00CD6F2A">
        <w:rPr>
          <w:rFonts w:asciiTheme="majorHAnsi" w:hAnsiTheme="majorHAnsi" w:cstheme="majorHAnsi"/>
          <w:b/>
          <w:sz w:val="22"/>
          <w:szCs w:val="22"/>
        </w:rPr>
        <w:t xml:space="preserve">Midterm </w:t>
      </w:r>
      <w:r w:rsidR="008C340A">
        <w:rPr>
          <w:rFonts w:asciiTheme="majorHAnsi" w:hAnsiTheme="majorHAnsi" w:cstheme="majorHAnsi"/>
          <w:b/>
          <w:sz w:val="22"/>
          <w:szCs w:val="22"/>
        </w:rPr>
        <w:t>Project</w:t>
      </w:r>
      <w:r w:rsidRPr="00CD6F2A">
        <w:rPr>
          <w:rFonts w:asciiTheme="majorHAnsi" w:hAnsiTheme="majorHAnsi" w:cstheme="majorHAnsi"/>
          <w:b/>
          <w:sz w:val="22"/>
          <w:szCs w:val="22"/>
        </w:rPr>
        <w:t xml:space="preserve"> (20%)</w:t>
      </w:r>
    </w:p>
    <w:p w14:paraId="4CAA6E14" w14:textId="7718246B" w:rsidR="00DD74F5" w:rsidRPr="00CD6F2A" w:rsidRDefault="001A11B3" w:rsidP="00BC2A13">
      <w:pPr>
        <w:numPr>
          <w:ilvl w:val="0"/>
          <w:numId w:val="1"/>
        </w:numPr>
        <w:pBdr>
          <w:top w:val="nil"/>
          <w:left w:val="nil"/>
          <w:bottom w:val="nil"/>
          <w:right w:val="nil"/>
          <w:between w:val="nil"/>
        </w:pBdr>
        <w:spacing w:before="0" w:after="40"/>
        <w:jc w:val="both"/>
        <w:rPr>
          <w:rFonts w:asciiTheme="majorHAnsi" w:hAnsiTheme="majorHAnsi" w:cstheme="majorHAnsi"/>
          <w:b/>
          <w:color w:val="000000"/>
          <w:sz w:val="22"/>
          <w:szCs w:val="22"/>
        </w:rPr>
      </w:pPr>
      <w:r w:rsidRPr="00CD6F2A">
        <w:rPr>
          <w:rFonts w:asciiTheme="majorHAnsi" w:hAnsiTheme="majorHAnsi" w:cstheme="majorHAnsi"/>
          <w:color w:val="000000"/>
          <w:sz w:val="22"/>
          <w:szCs w:val="22"/>
        </w:rPr>
        <w:t xml:space="preserve">The midterm consists of a </w:t>
      </w:r>
      <w:r w:rsidR="008C340A">
        <w:rPr>
          <w:rFonts w:asciiTheme="majorHAnsi" w:hAnsiTheme="majorHAnsi" w:cstheme="majorHAnsi"/>
          <w:color w:val="000000"/>
          <w:sz w:val="22"/>
          <w:szCs w:val="22"/>
        </w:rPr>
        <w:t>10-minute team power point summarizing the data analysis done to that point in the semester, a “strengths-weaknesses-opportunities-threats/constraints” (SWOT) analysis, and a vision for the future of the targeted area.  Since the 10-minute presentation allows for a limited time to show work done to date, a supplemental document with additional information and analysis can also be submitted</w:t>
      </w:r>
      <w:r w:rsidRPr="00CD6F2A">
        <w:rPr>
          <w:rFonts w:asciiTheme="majorHAnsi" w:hAnsiTheme="majorHAnsi" w:cstheme="majorHAnsi"/>
          <w:color w:val="000000"/>
          <w:sz w:val="22"/>
          <w:szCs w:val="22"/>
        </w:rPr>
        <w:t>.</w:t>
      </w:r>
    </w:p>
    <w:p w14:paraId="414DD8C5" w14:textId="1A94F031" w:rsidR="00DD74F5" w:rsidRDefault="001A11B3" w:rsidP="004825AD">
      <w:pPr>
        <w:pBdr>
          <w:top w:val="nil"/>
          <w:left w:val="nil"/>
          <w:bottom w:val="nil"/>
          <w:right w:val="nil"/>
          <w:between w:val="nil"/>
        </w:pBdr>
        <w:spacing w:before="0" w:after="40"/>
        <w:jc w:val="both"/>
        <w:rPr>
          <w:rFonts w:asciiTheme="majorHAnsi" w:hAnsiTheme="majorHAnsi" w:cstheme="majorHAnsi"/>
          <w:b/>
          <w:color w:val="000000"/>
          <w:sz w:val="22"/>
          <w:szCs w:val="22"/>
        </w:rPr>
      </w:pPr>
      <w:r w:rsidRPr="00CD6F2A">
        <w:rPr>
          <w:rFonts w:asciiTheme="majorHAnsi" w:hAnsiTheme="majorHAnsi" w:cstheme="majorHAnsi"/>
          <w:b/>
          <w:color w:val="000000"/>
          <w:sz w:val="22"/>
          <w:szCs w:val="22"/>
        </w:rPr>
        <w:t>Final Project (</w:t>
      </w:r>
      <w:r w:rsidR="008C340A">
        <w:rPr>
          <w:rFonts w:asciiTheme="majorHAnsi" w:hAnsiTheme="majorHAnsi" w:cstheme="majorHAnsi"/>
          <w:b/>
          <w:color w:val="000000"/>
          <w:sz w:val="22"/>
          <w:szCs w:val="22"/>
        </w:rPr>
        <w:t>20</w:t>
      </w:r>
      <w:r w:rsidRPr="00CD6F2A">
        <w:rPr>
          <w:rFonts w:asciiTheme="majorHAnsi" w:hAnsiTheme="majorHAnsi" w:cstheme="majorHAnsi"/>
          <w:b/>
          <w:color w:val="000000"/>
          <w:sz w:val="22"/>
          <w:szCs w:val="22"/>
        </w:rPr>
        <w:t>%)</w:t>
      </w:r>
    </w:p>
    <w:p w14:paraId="5ECF5068" w14:textId="657DD13E" w:rsidR="008C340A" w:rsidRDefault="008C340A" w:rsidP="00BC2A13">
      <w:pPr>
        <w:pStyle w:val="ListParagraph"/>
        <w:numPr>
          <w:ilvl w:val="0"/>
          <w:numId w:val="6"/>
        </w:numPr>
        <w:pBdr>
          <w:top w:val="nil"/>
          <w:left w:val="nil"/>
          <w:bottom w:val="nil"/>
          <w:right w:val="nil"/>
          <w:between w:val="nil"/>
        </w:pBdr>
        <w:spacing w:after="40"/>
        <w:jc w:val="both"/>
        <w:rPr>
          <w:rFonts w:asciiTheme="majorHAnsi" w:hAnsiTheme="majorHAnsi" w:cstheme="majorHAnsi"/>
          <w:bCs/>
          <w:color w:val="000000"/>
          <w:sz w:val="22"/>
          <w:szCs w:val="22"/>
        </w:rPr>
      </w:pPr>
      <w:r w:rsidRPr="008C340A">
        <w:rPr>
          <w:rFonts w:asciiTheme="majorHAnsi" w:hAnsiTheme="majorHAnsi" w:cstheme="majorHAnsi"/>
          <w:bCs/>
          <w:color w:val="000000"/>
          <w:sz w:val="22"/>
          <w:szCs w:val="22"/>
        </w:rPr>
        <w:t>The f</w:t>
      </w:r>
      <w:r>
        <w:rPr>
          <w:rFonts w:asciiTheme="majorHAnsi" w:hAnsiTheme="majorHAnsi" w:cstheme="majorHAnsi"/>
          <w:bCs/>
          <w:color w:val="000000"/>
          <w:sz w:val="22"/>
          <w:szCs w:val="22"/>
        </w:rPr>
        <w:t xml:space="preserve">inal project consists of a 15-minute team power point, setting out the vision, relevant data that support the vision and the plan and program for the area.  The plan and program set forth a desired end state in more detail than the vision, means by which that end state might be achieved (including financing sources and, if needed, proposed changes to land use and zoning, and the </w:t>
      </w:r>
      <w:r>
        <w:rPr>
          <w:rFonts w:asciiTheme="majorHAnsi" w:hAnsiTheme="majorHAnsi" w:cstheme="majorHAnsi"/>
          <w:bCs/>
          <w:color w:val="000000"/>
          <w:sz w:val="22"/>
          <w:szCs w:val="22"/>
        </w:rPr>
        <w:lastRenderedPageBreak/>
        <w:t>identification of catalytic projects or actions that the team believes necessary to begin to evolve the target area and implement the plan.  A supplemental document that explains the team’s thinking along with additional data that cannot be covered in the 15-minute presentation can also be submitted.</w:t>
      </w:r>
    </w:p>
    <w:p w14:paraId="26D1218D" w14:textId="7990FA9E" w:rsidR="008C340A" w:rsidRPr="00931702" w:rsidRDefault="008C340A" w:rsidP="004825AD">
      <w:pPr>
        <w:pBdr>
          <w:top w:val="nil"/>
          <w:left w:val="nil"/>
          <w:bottom w:val="nil"/>
          <w:right w:val="nil"/>
          <w:between w:val="nil"/>
        </w:pBdr>
        <w:spacing w:after="40"/>
        <w:jc w:val="both"/>
        <w:rPr>
          <w:rFonts w:asciiTheme="majorHAnsi" w:hAnsiTheme="majorHAnsi" w:cstheme="majorHAnsi"/>
          <w:b/>
          <w:color w:val="000000"/>
          <w:sz w:val="22"/>
          <w:szCs w:val="22"/>
        </w:rPr>
      </w:pPr>
      <w:r w:rsidRPr="00931702">
        <w:rPr>
          <w:rFonts w:asciiTheme="majorHAnsi" w:hAnsiTheme="majorHAnsi" w:cstheme="majorHAnsi"/>
          <w:b/>
          <w:color w:val="000000"/>
          <w:sz w:val="22"/>
          <w:szCs w:val="22"/>
        </w:rPr>
        <w:t>Final Individual Paper (20%)</w:t>
      </w:r>
    </w:p>
    <w:p w14:paraId="3E768FF7" w14:textId="3973EE28" w:rsidR="008C340A" w:rsidRPr="008C340A" w:rsidRDefault="00931702" w:rsidP="00BC2A13">
      <w:pPr>
        <w:pStyle w:val="ListParagraph"/>
        <w:numPr>
          <w:ilvl w:val="0"/>
          <w:numId w:val="6"/>
        </w:numPr>
        <w:pBdr>
          <w:top w:val="nil"/>
          <w:left w:val="nil"/>
          <w:bottom w:val="nil"/>
          <w:right w:val="nil"/>
          <w:between w:val="nil"/>
        </w:pBdr>
        <w:spacing w:after="40"/>
        <w:jc w:val="both"/>
        <w:rPr>
          <w:rFonts w:asciiTheme="majorHAnsi" w:hAnsiTheme="majorHAnsi" w:cstheme="majorHAnsi"/>
          <w:bCs/>
          <w:color w:val="000000"/>
          <w:sz w:val="22"/>
          <w:szCs w:val="22"/>
        </w:rPr>
      </w:pPr>
      <w:r>
        <w:rPr>
          <w:rFonts w:asciiTheme="majorHAnsi" w:hAnsiTheme="majorHAnsi" w:cstheme="majorHAnsi"/>
          <w:bCs/>
          <w:color w:val="000000"/>
          <w:sz w:val="22"/>
          <w:szCs w:val="22"/>
        </w:rPr>
        <w:t>As noted in the syllabus, each class member should identify an individual project, area of exploration or proposal the class member wants to ex</w:t>
      </w:r>
      <w:r w:rsidR="00E172DE">
        <w:rPr>
          <w:rFonts w:asciiTheme="majorHAnsi" w:hAnsiTheme="majorHAnsi" w:cstheme="majorHAnsi"/>
          <w:bCs/>
          <w:color w:val="000000"/>
          <w:sz w:val="22"/>
          <w:szCs w:val="22"/>
        </w:rPr>
        <w:t>amin</w:t>
      </w:r>
      <w:r>
        <w:rPr>
          <w:rFonts w:asciiTheme="majorHAnsi" w:hAnsiTheme="majorHAnsi" w:cstheme="majorHAnsi"/>
          <w:bCs/>
          <w:color w:val="000000"/>
          <w:sz w:val="22"/>
          <w:szCs w:val="22"/>
        </w:rPr>
        <w:t xml:space="preserve">e in further detail.  This can be (1) a proposed development project on a specified site with a scope, market data supporting the demand for the proposed project, a project proforma, </w:t>
      </w:r>
      <w:r w:rsidR="00C323DE">
        <w:rPr>
          <w:rFonts w:asciiTheme="majorHAnsi" w:hAnsiTheme="majorHAnsi" w:cstheme="majorHAnsi"/>
          <w:bCs/>
          <w:color w:val="000000"/>
          <w:sz w:val="22"/>
          <w:szCs w:val="22"/>
        </w:rPr>
        <w:t xml:space="preserve">costs and expected financing, </w:t>
      </w:r>
      <w:r>
        <w:rPr>
          <w:rFonts w:asciiTheme="majorHAnsi" w:hAnsiTheme="majorHAnsi" w:cstheme="majorHAnsi"/>
          <w:bCs/>
          <w:color w:val="000000"/>
          <w:sz w:val="22"/>
          <w:szCs w:val="22"/>
        </w:rPr>
        <w:t>development schedule and approach</w:t>
      </w:r>
      <w:r w:rsidR="00C323DE">
        <w:rPr>
          <w:rFonts w:asciiTheme="majorHAnsi" w:hAnsiTheme="majorHAnsi" w:cstheme="majorHAnsi"/>
          <w:bCs/>
          <w:color w:val="000000"/>
          <w:sz w:val="22"/>
          <w:szCs w:val="22"/>
        </w:rPr>
        <w:t xml:space="preserve"> and expected results</w:t>
      </w:r>
      <w:r>
        <w:rPr>
          <w:rFonts w:asciiTheme="majorHAnsi" w:hAnsiTheme="majorHAnsi" w:cstheme="majorHAnsi"/>
          <w:bCs/>
          <w:color w:val="000000"/>
          <w:sz w:val="22"/>
          <w:szCs w:val="22"/>
        </w:rPr>
        <w:t xml:space="preserve">, (2) a write-up of a topic of interest with appropriate research, thesis, </w:t>
      </w:r>
      <w:r w:rsidR="00E172DE">
        <w:rPr>
          <w:rFonts w:asciiTheme="majorHAnsi" w:hAnsiTheme="majorHAnsi" w:cstheme="majorHAnsi"/>
          <w:bCs/>
          <w:color w:val="000000"/>
          <w:sz w:val="22"/>
          <w:szCs w:val="22"/>
        </w:rPr>
        <w:t xml:space="preserve">findings and conclusions, </w:t>
      </w:r>
      <w:r>
        <w:rPr>
          <w:rFonts w:asciiTheme="majorHAnsi" w:hAnsiTheme="majorHAnsi" w:cstheme="majorHAnsi"/>
          <w:bCs/>
          <w:color w:val="000000"/>
          <w:sz w:val="22"/>
          <w:szCs w:val="22"/>
        </w:rPr>
        <w:t>proposed course of action and expected outcomes, or (3) a technical memorandum to an elected or appointed official analyzing a specific community issue that includes basic information, consideration of options, a recommended course of action for the official to take and expected results of acting, or failing to act, on the community.</w:t>
      </w:r>
    </w:p>
    <w:p w14:paraId="6281DFCC" w14:textId="23CE8CEE" w:rsidR="00DD74F5" w:rsidRPr="00CD6F2A" w:rsidRDefault="00931702" w:rsidP="004825AD">
      <w:pPr>
        <w:pBdr>
          <w:top w:val="nil"/>
          <w:left w:val="nil"/>
          <w:bottom w:val="nil"/>
          <w:right w:val="nil"/>
          <w:between w:val="nil"/>
        </w:pBdr>
        <w:spacing w:before="0" w:after="40"/>
        <w:jc w:val="both"/>
        <w:rPr>
          <w:rFonts w:asciiTheme="majorHAnsi" w:hAnsiTheme="majorHAnsi" w:cstheme="majorHAnsi"/>
          <w:b/>
          <w:color w:val="000000"/>
          <w:sz w:val="22"/>
          <w:szCs w:val="22"/>
        </w:rPr>
      </w:pPr>
      <w:r>
        <w:rPr>
          <w:rFonts w:asciiTheme="majorHAnsi" w:hAnsiTheme="majorHAnsi" w:cstheme="majorHAnsi"/>
          <w:b/>
          <w:color w:val="000000"/>
          <w:sz w:val="22"/>
          <w:szCs w:val="22"/>
        </w:rPr>
        <w:t>F</w:t>
      </w:r>
      <w:r w:rsidR="001A11B3" w:rsidRPr="00CD6F2A">
        <w:rPr>
          <w:rFonts w:asciiTheme="majorHAnsi" w:hAnsiTheme="majorHAnsi" w:cstheme="majorHAnsi"/>
          <w:b/>
          <w:color w:val="000000"/>
          <w:sz w:val="22"/>
          <w:szCs w:val="22"/>
        </w:rPr>
        <w:t xml:space="preserve">inal </w:t>
      </w:r>
      <w:r>
        <w:rPr>
          <w:rFonts w:asciiTheme="majorHAnsi" w:hAnsiTheme="majorHAnsi" w:cstheme="majorHAnsi"/>
          <w:b/>
          <w:color w:val="000000"/>
          <w:sz w:val="22"/>
          <w:szCs w:val="22"/>
        </w:rPr>
        <w:t>E</w:t>
      </w:r>
      <w:r w:rsidR="001A11B3" w:rsidRPr="00CD6F2A">
        <w:rPr>
          <w:rFonts w:asciiTheme="majorHAnsi" w:hAnsiTheme="majorHAnsi" w:cstheme="majorHAnsi"/>
          <w:b/>
          <w:color w:val="000000"/>
          <w:sz w:val="22"/>
          <w:szCs w:val="22"/>
        </w:rPr>
        <w:t>xamination</w:t>
      </w:r>
      <w:r>
        <w:rPr>
          <w:rFonts w:asciiTheme="majorHAnsi" w:hAnsiTheme="majorHAnsi" w:cstheme="majorHAnsi"/>
          <w:b/>
          <w:color w:val="000000"/>
          <w:sz w:val="22"/>
          <w:szCs w:val="22"/>
        </w:rPr>
        <w:t xml:space="preserve"> (20%)</w:t>
      </w:r>
    </w:p>
    <w:p w14:paraId="075AFBB3" w14:textId="77777777" w:rsidR="006A6857" w:rsidRDefault="00931702" w:rsidP="00BC2A13">
      <w:pPr>
        <w:numPr>
          <w:ilvl w:val="0"/>
          <w:numId w:val="7"/>
        </w:numPr>
        <w:spacing w:before="0" w:after="40"/>
        <w:ind w:right="20"/>
        <w:jc w:val="both"/>
        <w:rPr>
          <w:rFonts w:asciiTheme="majorHAnsi" w:hAnsiTheme="majorHAnsi" w:cstheme="majorHAnsi"/>
          <w:sz w:val="22"/>
          <w:szCs w:val="22"/>
        </w:rPr>
      </w:pPr>
      <w:r>
        <w:rPr>
          <w:rFonts w:asciiTheme="majorHAnsi" w:hAnsiTheme="majorHAnsi" w:cstheme="majorHAnsi"/>
          <w:sz w:val="22"/>
          <w:szCs w:val="22"/>
        </w:rPr>
        <w:t>The class culminates with a final examination that will consist of a series of short (1/2 page) and long (1-2 page) essay questions covering the major topics of the class. It is expected that the final examination will take place in class during finals week</w:t>
      </w:r>
      <w:r w:rsidR="001A11B3" w:rsidRPr="00CD6F2A">
        <w:rPr>
          <w:rFonts w:asciiTheme="majorHAnsi" w:hAnsiTheme="majorHAnsi" w:cstheme="majorHAnsi"/>
          <w:sz w:val="22"/>
          <w:szCs w:val="22"/>
        </w:rPr>
        <w:t>.</w:t>
      </w:r>
    </w:p>
    <w:p w14:paraId="0A9A0482" w14:textId="77777777" w:rsidR="006A6857" w:rsidRPr="006A6857" w:rsidRDefault="006A6857" w:rsidP="004825AD">
      <w:pPr>
        <w:spacing w:before="0" w:after="40"/>
        <w:ind w:left="720" w:right="20"/>
        <w:jc w:val="both"/>
        <w:rPr>
          <w:rFonts w:asciiTheme="majorHAnsi" w:hAnsiTheme="majorHAnsi" w:cstheme="majorHAnsi"/>
          <w:sz w:val="22"/>
          <w:szCs w:val="22"/>
        </w:rPr>
      </w:pPr>
    </w:p>
    <w:p w14:paraId="28946170" w14:textId="4876A4B8" w:rsidR="006A6857" w:rsidRPr="006A6857" w:rsidRDefault="006A6857" w:rsidP="004825AD">
      <w:pPr>
        <w:spacing w:before="0" w:after="40"/>
        <w:ind w:left="360" w:right="20"/>
        <w:jc w:val="both"/>
        <w:rPr>
          <w:rFonts w:asciiTheme="majorHAnsi" w:hAnsiTheme="majorHAnsi" w:cstheme="majorHAnsi"/>
          <w:sz w:val="22"/>
          <w:szCs w:val="22"/>
        </w:rPr>
      </w:pPr>
      <w:r w:rsidRPr="006A6857">
        <w:rPr>
          <w:rFonts w:cs="Arial"/>
          <w:b/>
          <w:sz w:val="22"/>
          <w:szCs w:val="22"/>
        </w:rPr>
        <w:t>Grading Description</w:t>
      </w:r>
    </w:p>
    <w:p w14:paraId="5F6AD017" w14:textId="77777777" w:rsidR="006A6857" w:rsidRPr="006A6857" w:rsidRDefault="006A6857" w:rsidP="00BC2A13">
      <w:pPr>
        <w:pStyle w:val="BodyText"/>
        <w:numPr>
          <w:ilvl w:val="0"/>
          <w:numId w:val="7"/>
        </w:numPr>
        <w:spacing w:after="40" w:line="276" w:lineRule="auto"/>
        <w:jc w:val="both"/>
        <w:rPr>
          <w:rFonts w:ascii="Calibri" w:hAnsi="Calibri" w:cs="Arial"/>
          <w:szCs w:val="22"/>
        </w:rPr>
      </w:pPr>
      <w:bookmarkStart w:id="1" w:name="_Hlk117428173"/>
      <w:r w:rsidRPr="006A6857">
        <w:rPr>
          <w:rFonts w:ascii="Calibri" w:hAnsi="Calibri" w:cs="Arial"/>
          <w:szCs w:val="22"/>
        </w:rPr>
        <w:t>A – Work of excellent quality exceeding requirements and exceeding expectations</w:t>
      </w:r>
    </w:p>
    <w:p w14:paraId="1FBDEA5C" w14:textId="77777777" w:rsidR="006A6857" w:rsidRPr="006A6857" w:rsidRDefault="006A6857" w:rsidP="00BC2A13">
      <w:pPr>
        <w:pStyle w:val="BodyText"/>
        <w:numPr>
          <w:ilvl w:val="0"/>
          <w:numId w:val="7"/>
        </w:numPr>
        <w:spacing w:after="40" w:line="276" w:lineRule="auto"/>
        <w:jc w:val="both"/>
        <w:rPr>
          <w:rFonts w:ascii="Calibri" w:hAnsi="Calibri" w:cs="Arial"/>
          <w:szCs w:val="22"/>
        </w:rPr>
      </w:pPr>
      <w:r w:rsidRPr="006A6857">
        <w:rPr>
          <w:rFonts w:ascii="Calibri" w:hAnsi="Calibri" w:cs="Arial"/>
          <w:szCs w:val="22"/>
        </w:rPr>
        <w:t>B – Work of good quality meeting requirements and meeting expectations</w:t>
      </w:r>
    </w:p>
    <w:p w14:paraId="53D48364" w14:textId="77777777" w:rsidR="006A6857" w:rsidRPr="006A6857" w:rsidRDefault="006A6857" w:rsidP="00BC2A13">
      <w:pPr>
        <w:pStyle w:val="BodyText"/>
        <w:numPr>
          <w:ilvl w:val="0"/>
          <w:numId w:val="7"/>
        </w:numPr>
        <w:spacing w:after="40" w:line="276" w:lineRule="auto"/>
        <w:jc w:val="both"/>
        <w:rPr>
          <w:rFonts w:ascii="Calibri" w:hAnsi="Calibri" w:cs="Arial"/>
          <w:szCs w:val="22"/>
        </w:rPr>
      </w:pPr>
      <w:r w:rsidRPr="006A6857">
        <w:rPr>
          <w:rFonts w:ascii="Calibri" w:hAnsi="Calibri" w:cs="Arial"/>
          <w:szCs w:val="22"/>
        </w:rPr>
        <w:t>C – Work of fair quality</w:t>
      </w:r>
    </w:p>
    <w:p w14:paraId="1AC18778" w14:textId="77777777" w:rsidR="006A6857" w:rsidRPr="006A6857" w:rsidRDefault="006A6857" w:rsidP="00BC2A13">
      <w:pPr>
        <w:pStyle w:val="BodyText"/>
        <w:numPr>
          <w:ilvl w:val="0"/>
          <w:numId w:val="7"/>
        </w:numPr>
        <w:spacing w:after="40" w:line="276" w:lineRule="auto"/>
        <w:jc w:val="both"/>
        <w:rPr>
          <w:rFonts w:ascii="Calibri" w:hAnsi="Calibri" w:cs="Arial"/>
          <w:szCs w:val="22"/>
        </w:rPr>
      </w:pPr>
      <w:r w:rsidRPr="006A6857">
        <w:rPr>
          <w:rFonts w:ascii="Calibri" w:hAnsi="Calibri" w:cs="Arial"/>
          <w:szCs w:val="22"/>
        </w:rPr>
        <w:t>D – Work of minimum passing quality</w:t>
      </w:r>
    </w:p>
    <w:p w14:paraId="0D76CEE7" w14:textId="77777777" w:rsidR="006A6857" w:rsidRPr="006A6857" w:rsidRDefault="006A6857" w:rsidP="00BC2A13">
      <w:pPr>
        <w:pStyle w:val="BodyText"/>
        <w:numPr>
          <w:ilvl w:val="0"/>
          <w:numId w:val="7"/>
        </w:numPr>
        <w:spacing w:after="40" w:line="276" w:lineRule="auto"/>
        <w:jc w:val="both"/>
        <w:rPr>
          <w:rFonts w:ascii="Calibri" w:hAnsi="Calibri" w:cs="Arial"/>
          <w:szCs w:val="22"/>
        </w:rPr>
      </w:pPr>
      <w:r w:rsidRPr="006A6857">
        <w:rPr>
          <w:rFonts w:ascii="Calibri" w:hAnsi="Calibri" w:cs="Arial"/>
          <w:szCs w:val="22"/>
        </w:rPr>
        <w:t>F – Failure to adequately complete coursework</w:t>
      </w:r>
    </w:p>
    <w:p w14:paraId="21EC3243" w14:textId="77777777" w:rsidR="006A6857" w:rsidRPr="006A6857" w:rsidRDefault="006A6857" w:rsidP="004825AD">
      <w:pPr>
        <w:pStyle w:val="BodyText"/>
        <w:spacing w:after="40" w:line="276" w:lineRule="auto"/>
        <w:ind w:left="360"/>
        <w:jc w:val="both"/>
        <w:rPr>
          <w:rFonts w:ascii="Calibri" w:hAnsi="Calibri" w:cs="Arial"/>
          <w:szCs w:val="22"/>
        </w:rPr>
      </w:pPr>
      <w:r w:rsidRPr="006A6857">
        <w:rPr>
          <w:rFonts w:ascii="Calibri" w:hAnsi="Calibri" w:cs="Arial"/>
          <w:szCs w:val="22"/>
        </w:rPr>
        <w:t xml:space="preserve">To receive an “A” grade, students must complete all work on time and submit work of superior quality at every stage. Work must address all aspects of the required assignments, exceed the minimum requirements and demonstrate critical and creative thinking. Students must consistently contribute to class discussion.  </w:t>
      </w:r>
    </w:p>
    <w:p w14:paraId="7D50EC9C" w14:textId="77777777" w:rsidR="006A6857" w:rsidRPr="006A6857" w:rsidRDefault="006A6857" w:rsidP="004825AD">
      <w:pPr>
        <w:spacing w:before="0" w:after="40"/>
        <w:jc w:val="both"/>
        <w:rPr>
          <w:rStyle w:val="tooltiptext"/>
          <w:b/>
          <w:iCs/>
          <w:color w:val="000000"/>
          <w:sz w:val="22"/>
          <w:szCs w:val="22"/>
        </w:rPr>
      </w:pPr>
      <w:r w:rsidRPr="006A6857">
        <w:rPr>
          <w:b/>
          <w:iCs/>
          <w:color w:val="000000"/>
          <w:sz w:val="22"/>
          <w:szCs w:val="22"/>
        </w:rPr>
        <w:t>Assignment Submission Policy</w:t>
      </w:r>
    </w:p>
    <w:p w14:paraId="24920653" w14:textId="3645EA83" w:rsidR="006A6857" w:rsidRPr="006A6857" w:rsidRDefault="006A6857" w:rsidP="00BC2A13">
      <w:pPr>
        <w:pStyle w:val="ListParagraph"/>
        <w:numPr>
          <w:ilvl w:val="0"/>
          <w:numId w:val="7"/>
        </w:numPr>
        <w:spacing w:after="40" w:line="276" w:lineRule="auto"/>
        <w:jc w:val="both"/>
        <w:rPr>
          <w:rStyle w:val="tooltiptext"/>
          <w:rFonts w:ascii="Calibri" w:hAnsi="Calibri" w:cs="Calibri"/>
          <w:iCs/>
          <w:color w:val="000000"/>
          <w:sz w:val="22"/>
          <w:szCs w:val="22"/>
        </w:rPr>
      </w:pPr>
      <w:r w:rsidRPr="006A6857">
        <w:rPr>
          <w:rStyle w:val="tooltiptext"/>
          <w:rFonts w:ascii="Calibri" w:hAnsi="Calibri" w:cs="Calibri"/>
          <w:iCs/>
          <w:color w:val="000000"/>
          <w:sz w:val="22"/>
          <w:szCs w:val="22"/>
        </w:rPr>
        <w:t xml:space="preserve">The midterm and final project shall be submitted in electronic format by 4.00 pm Pacific time the day before the class sessions in which the presentations are scheduled (see schedule below). A member of the team should be responsible for uploading and screen sharing the presentations during the class. Outlines of oral presentations for the midterm and final project shall also be emailed to the instructor by 5.00 pm the day prior to the first presentation date. Understanding that 10 minutes provides for only an abbreviated presentation, supplemental materials may be submitted in addition to the midterm and final projects. Homework and other assignments shall normally be submitted electronically. </w:t>
      </w:r>
    </w:p>
    <w:bookmarkEnd w:id="1"/>
    <w:p w14:paraId="016B49F4" w14:textId="0C00C0CE" w:rsidR="00931702" w:rsidRPr="006A6857" w:rsidRDefault="00931702" w:rsidP="006A6857">
      <w:pPr>
        <w:spacing w:before="0" w:after="40"/>
        <w:ind w:right="14"/>
        <w:rPr>
          <w:rFonts w:asciiTheme="majorHAnsi" w:hAnsiTheme="majorHAnsi" w:cstheme="majorHAnsi"/>
          <w:sz w:val="22"/>
          <w:szCs w:val="22"/>
        </w:rPr>
      </w:pPr>
    </w:p>
    <w:p w14:paraId="13F143EE" w14:textId="29C7BD11" w:rsidR="00931702" w:rsidRDefault="00931702" w:rsidP="00931702">
      <w:pPr>
        <w:spacing w:before="0" w:after="40"/>
        <w:ind w:left="720" w:right="20"/>
        <w:rPr>
          <w:rFonts w:asciiTheme="majorHAnsi" w:hAnsiTheme="majorHAnsi" w:cstheme="majorHAnsi"/>
          <w:sz w:val="22"/>
          <w:szCs w:val="22"/>
        </w:rPr>
      </w:pPr>
    </w:p>
    <w:p w14:paraId="6EAD0ED3" w14:textId="77777777" w:rsidR="00931702" w:rsidRPr="00CD6F2A" w:rsidRDefault="00931702" w:rsidP="00931702">
      <w:pPr>
        <w:spacing w:before="0" w:after="40"/>
        <w:ind w:left="720" w:right="20"/>
        <w:rPr>
          <w:rFonts w:asciiTheme="majorHAnsi" w:hAnsiTheme="majorHAnsi" w:cstheme="majorHAnsi"/>
          <w:sz w:val="22"/>
          <w:szCs w:val="22"/>
        </w:rPr>
      </w:pPr>
    </w:p>
    <w:p w14:paraId="0734C94A" w14:textId="77777777" w:rsidR="00DD74F5" w:rsidRPr="007C17EA" w:rsidRDefault="001A11B3" w:rsidP="00CD6F2A">
      <w:pPr>
        <w:pStyle w:val="Heading3"/>
        <w:spacing w:before="0" w:after="40"/>
        <w:rPr>
          <w:rFonts w:asciiTheme="majorHAnsi" w:hAnsiTheme="majorHAnsi" w:cstheme="majorHAnsi"/>
          <w:sz w:val="22"/>
          <w:szCs w:val="22"/>
        </w:rPr>
      </w:pPr>
      <w:r w:rsidRPr="007C17EA">
        <w:rPr>
          <w:rFonts w:asciiTheme="majorHAnsi" w:hAnsiTheme="majorHAnsi" w:cstheme="majorHAnsi"/>
          <w:sz w:val="22"/>
          <w:szCs w:val="22"/>
        </w:rPr>
        <w:lastRenderedPageBreak/>
        <w:t>Grading Timeline</w:t>
      </w:r>
    </w:p>
    <w:p w14:paraId="115E3BEF" w14:textId="08705A8C" w:rsidR="00DD74F5" w:rsidRPr="007C17EA" w:rsidRDefault="00C323DE" w:rsidP="00C323DE">
      <w:pPr>
        <w:spacing w:before="0" w:after="40"/>
        <w:jc w:val="both"/>
        <w:rPr>
          <w:rFonts w:asciiTheme="majorHAnsi" w:hAnsiTheme="majorHAnsi" w:cstheme="majorHAnsi"/>
          <w:sz w:val="22"/>
          <w:szCs w:val="22"/>
        </w:rPr>
      </w:pPr>
      <w:r w:rsidRPr="007C17EA">
        <w:rPr>
          <w:rFonts w:asciiTheme="majorHAnsi" w:hAnsiTheme="majorHAnsi" w:cstheme="majorHAnsi"/>
          <w:sz w:val="22"/>
          <w:szCs w:val="22"/>
        </w:rPr>
        <w:t xml:space="preserve">Every effort will be made to provide feedback within 72 hours of the submission deadline.  Feedback may be through annotations on the submittal or through a response email or document.  </w:t>
      </w:r>
    </w:p>
    <w:p w14:paraId="672E05CE" w14:textId="77777777" w:rsidR="00DD74F5" w:rsidRPr="007C17EA" w:rsidRDefault="001A11B3" w:rsidP="00C323DE">
      <w:pPr>
        <w:pStyle w:val="Heading3"/>
        <w:spacing w:before="0" w:after="40"/>
        <w:jc w:val="both"/>
        <w:rPr>
          <w:rFonts w:asciiTheme="majorHAnsi" w:hAnsiTheme="majorHAnsi" w:cstheme="majorHAnsi"/>
          <w:sz w:val="22"/>
          <w:szCs w:val="22"/>
        </w:rPr>
      </w:pPr>
      <w:r w:rsidRPr="007C17EA">
        <w:rPr>
          <w:rFonts w:asciiTheme="majorHAnsi" w:hAnsiTheme="majorHAnsi" w:cstheme="majorHAnsi"/>
          <w:sz w:val="22"/>
          <w:szCs w:val="22"/>
        </w:rPr>
        <w:t>Assignment Submission Deadline</w:t>
      </w:r>
    </w:p>
    <w:p w14:paraId="6BA1A2B3" w14:textId="1E978F0D" w:rsidR="00DD74F5" w:rsidRPr="007C17EA" w:rsidRDefault="001A11B3" w:rsidP="00C323DE">
      <w:pPr>
        <w:spacing w:before="0" w:after="40"/>
        <w:jc w:val="both"/>
        <w:rPr>
          <w:rFonts w:asciiTheme="majorHAnsi" w:hAnsiTheme="majorHAnsi" w:cstheme="majorHAnsi"/>
          <w:color w:val="000000"/>
          <w:sz w:val="22"/>
          <w:szCs w:val="22"/>
        </w:rPr>
      </w:pPr>
      <w:r w:rsidRPr="007C17EA">
        <w:rPr>
          <w:rFonts w:asciiTheme="majorHAnsi" w:hAnsiTheme="majorHAnsi" w:cstheme="majorHAnsi"/>
          <w:color w:val="000000"/>
          <w:sz w:val="22"/>
          <w:szCs w:val="22"/>
        </w:rPr>
        <w:t>All assignments are due no later than </w:t>
      </w:r>
      <w:r w:rsidR="00C323DE" w:rsidRPr="007C17EA">
        <w:rPr>
          <w:rFonts w:asciiTheme="majorHAnsi" w:hAnsiTheme="majorHAnsi" w:cstheme="majorHAnsi"/>
          <w:b/>
          <w:color w:val="000000"/>
          <w:sz w:val="22"/>
          <w:szCs w:val="22"/>
        </w:rPr>
        <w:t>4.00pm</w:t>
      </w:r>
      <w:r w:rsidRPr="007C17EA">
        <w:rPr>
          <w:rFonts w:asciiTheme="majorHAnsi" w:hAnsiTheme="majorHAnsi" w:cstheme="majorHAnsi"/>
          <w:b/>
          <w:color w:val="000000"/>
          <w:sz w:val="22"/>
          <w:szCs w:val="22"/>
        </w:rPr>
        <w:t xml:space="preserve"> P</w:t>
      </w:r>
      <w:r w:rsidRPr="007C17EA">
        <w:rPr>
          <w:rFonts w:asciiTheme="majorHAnsi" w:hAnsiTheme="majorHAnsi" w:cstheme="majorHAnsi"/>
          <w:b/>
          <w:sz w:val="22"/>
          <w:szCs w:val="22"/>
        </w:rPr>
        <w:t>acific Time</w:t>
      </w:r>
      <w:r w:rsidRPr="007C17EA">
        <w:rPr>
          <w:rFonts w:asciiTheme="majorHAnsi" w:hAnsiTheme="majorHAnsi" w:cstheme="majorHAnsi"/>
          <w:color w:val="000000"/>
          <w:sz w:val="22"/>
          <w:szCs w:val="22"/>
        </w:rPr>
        <w:t> on the indicated due date unless otherwise noted.</w:t>
      </w:r>
    </w:p>
    <w:p w14:paraId="32EB9853" w14:textId="77777777" w:rsidR="00DD74F5" w:rsidRPr="007C17EA" w:rsidRDefault="001A11B3" w:rsidP="00C323DE">
      <w:pPr>
        <w:pStyle w:val="Heading3"/>
        <w:spacing w:before="0" w:after="40"/>
        <w:jc w:val="both"/>
        <w:rPr>
          <w:rFonts w:asciiTheme="majorHAnsi" w:hAnsiTheme="majorHAnsi" w:cstheme="majorHAnsi"/>
          <w:sz w:val="22"/>
          <w:szCs w:val="22"/>
        </w:rPr>
      </w:pPr>
      <w:r w:rsidRPr="007C17EA">
        <w:rPr>
          <w:rFonts w:asciiTheme="majorHAnsi" w:hAnsiTheme="majorHAnsi" w:cstheme="majorHAnsi"/>
          <w:sz w:val="22"/>
          <w:szCs w:val="22"/>
        </w:rPr>
        <w:t>Late Work</w:t>
      </w:r>
    </w:p>
    <w:p w14:paraId="133F8631" w14:textId="6FD23061" w:rsidR="00DD74F5" w:rsidRPr="007C17EA" w:rsidRDefault="001A11B3" w:rsidP="00C323DE">
      <w:pPr>
        <w:spacing w:before="0" w:after="40"/>
        <w:jc w:val="both"/>
        <w:rPr>
          <w:rFonts w:asciiTheme="majorHAnsi" w:hAnsiTheme="majorHAnsi" w:cstheme="majorHAnsi"/>
          <w:sz w:val="22"/>
          <w:szCs w:val="22"/>
        </w:rPr>
      </w:pPr>
      <w:r w:rsidRPr="007C17EA">
        <w:rPr>
          <w:rFonts w:asciiTheme="majorHAnsi" w:hAnsiTheme="majorHAnsi" w:cstheme="majorHAnsi"/>
          <w:sz w:val="22"/>
          <w:szCs w:val="22"/>
        </w:rPr>
        <w:t>Late assignments will be graded down. Assignments more than 72 hours late may not be accepted unless the lateness involves any of the excuses granted in the USC Student Handbook. A passing grade will not be assigned unless all assignments have been completed and submitted. While allowance will be made for medical or personal emergencies, unexcused absences will be penalized. Make-up work may be allowed on a case-by-case basis at the discretion of the instructor.</w:t>
      </w:r>
    </w:p>
    <w:p w14:paraId="070BB7B5" w14:textId="41725C33" w:rsidR="00DD74F5" w:rsidRPr="007C17EA" w:rsidRDefault="007C17EA">
      <w:pPr>
        <w:pStyle w:val="Heading3"/>
        <w:rPr>
          <w:rFonts w:asciiTheme="majorHAnsi" w:hAnsiTheme="majorHAnsi" w:cstheme="majorHAnsi"/>
          <w:sz w:val="22"/>
          <w:szCs w:val="22"/>
        </w:rPr>
      </w:pPr>
      <w:r>
        <w:rPr>
          <w:rFonts w:asciiTheme="majorHAnsi" w:hAnsiTheme="majorHAnsi" w:cstheme="majorHAnsi"/>
          <w:sz w:val="22"/>
          <w:szCs w:val="22"/>
        </w:rPr>
        <w:t>Class</w:t>
      </w:r>
      <w:r w:rsidR="001A11B3" w:rsidRPr="007C17EA">
        <w:rPr>
          <w:rFonts w:asciiTheme="majorHAnsi" w:hAnsiTheme="majorHAnsi" w:cstheme="majorHAnsi"/>
          <w:sz w:val="22"/>
          <w:szCs w:val="22"/>
        </w:rPr>
        <w:t xml:space="preserve"> Sessions</w:t>
      </w:r>
    </w:p>
    <w:p w14:paraId="55B0F957" w14:textId="77777777" w:rsidR="007C17EA" w:rsidRDefault="001A11B3"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r w:rsidRPr="007C17EA">
        <w:rPr>
          <w:rFonts w:asciiTheme="majorHAnsi" w:hAnsiTheme="majorHAnsi" w:cstheme="majorHAnsi"/>
          <w:color w:val="000000"/>
          <w:sz w:val="22"/>
          <w:szCs w:val="22"/>
        </w:rPr>
        <w:t xml:space="preserve">Attendance at all </w:t>
      </w:r>
      <w:r w:rsidR="007C17EA">
        <w:rPr>
          <w:rFonts w:asciiTheme="majorHAnsi" w:hAnsiTheme="majorHAnsi" w:cstheme="majorHAnsi"/>
          <w:color w:val="000000"/>
          <w:sz w:val="22"/>
          <w:szCs w:val="22"/>
        </w:rPr>
        <w:t>sessions</w:t>
      </w:r>
      <w:r w:rsidRPr="007C17EA">
        <w:rPr>
          <w:rFonts w:asciiTheme="majorHAnsi" w:hAnsiTheme="majorHAnsi" w:cstheme="majorHAnsi"/>
          <w:color w:val="000000"/>
          <w:sz w:val="22"/>
          <w:szCs w:val="22"/>
        </w:rPr>
        <w:t xml:space="preserve"> is </w:t>
      </w:r>
      <w:r w:rsidR="007C17EA">
        <w:rPr>
          <w:rFonts w:asciiTheme="majorHAnsi" w:hAnsiTheme="majorHAnsi" w:cstheme="majorHAnsi"/>
          <w:color w:val="000000"/>
          <w:sz w:val="22"/>
          <w:szCs w:val="22"/>
        </w:rPr>
        <w:t>expected</w:t>
      </w:r>
      <w:r w:rsidRPr="007C17EA">
        <w:rPr>
          <w:rFonts w:asciiTheme="majorHAnsi" w:hAnsiTheme="majorHAnsi" w:cstheme="majorHAnsi"/>
          <w:color w:val="000000"/>
          <w:sz w:val="22"/>
          <w:szCs w:val="22"/>
        </w:rPr>
        <w:t xml:space="preserve">. </w:t>
      </w:r>
      <w:r w:rsidR="007C17EA">
        <w:rPr>
          <w:rFonts w:asciiTheme="majorHAnsi" w:hAnsiTheme="majorHAnsi" w:cstheme="majorHAnsi"/>
          <w:color w:val="000000"/>
          <w:sz w:val="22"/>
          <w:szCs w:val="22"/>
        </w:rPr>
        <w:t xml:space="preserve">If you are unable to attend regular class sessions, </w:t>
      </w:r>
      <w:r w:rsidRPr="007C17EA">
        <w:rPr>
          <w:rFonts w:asciiTheme="majorHAnsi" w:hAnsiTheme="majorHAnsi" w:cstheme="majorHAnsi"/>
          <w:color w:val="000000"/>
          <w:sz w:val="22"/>
          <w:szCs w:val="22"/>
        </w:rPr>
        <w:t>your instructor may require an alternative assignment.</w:t>
      </w:r>
    </w:p>
    <w:p w14:paraId="436BC619" w14:textId="2FB1637B" w:rsidR="007C17EA" w:rsidRDefault="001A11B3" w:rsidP="007C17EA">
      <w:pPr>
        <w:pBdr>
          <w:top w:val="nil"/>
          <w:left w:val="nil"/>
          <w:bottom w:val="nil"/>
          <w:right w:val="nil"/>
          <w:between w:val="nil"/>
        </w:pBdr>
        <w:spacing w:after="0" w:line="240" w:lineRule="auto"/>
        <w:jc w:val="both"/>
        <w:rPr>
          <w:rFonts w:asciiTheme="majorHAnsi" w:hAnsiTheme="majorHAnsi" w:cstheme="majorHAnsi"/>
          <w:sz w:val="22"/>
          <w:szCs w:val="22"/>
        </w:rPr>
      </w:pPr>
      <w:r w:rsidRPr="007C17EA">
        <w:rPr>
          <w:rFonts w:asciiTheme="majorHAnsi" w:hAnsiTheme="majorHAnsi" w:cstheme="majorHAnsi"/>
          <w:color w:val="000000"/>
          <w:sz w:val="22"/>
          <w:szCs w:val="22"/>
        </w:rPr>
        <w:t xml:space="preserve">Students are expected to complete all readings and instructional materials prior to attending class meetings. </w:t>
      </w:r>
      <w:r w:rsidR="007C17EA">
        <w:rPr>
          <w:rFonts w:asciiTheme="majorHAnsi" w:hAnsiTheme="majorHAnsi" w:cstheme="majorHAnsi"/>
          <w:color w:val="000000"/>
          <w:sz w:val="22"/>
          <w:szCs w:val="22"/>
        </w:rPr>
        <w:t xml:space="preserve"> </w:t>
      </w:r>
      <w:r w:rsidRPr="007C17EA">
        <w:rPr>
          <w:rFonts w:asciiTheme="majorHAnsi" w:hAnsiTheme="majorHAnsi" w:cstheme="majorHAnsi"/>
          <w:color w:val="000000"/>
          <w:sz w:val="22"/>
          <w:szCs w:val="22"/>
        </w:rPr>
        <w:t xml:space="preserve">Synchronous </w:t>
      </w:r>
      <w:r w:rsidRPr="007C17EA">
        <w:rPr>
          <w:rFonts w:asciiTheme="majorHAnsi" w:hAnsiTheme="majorHAnsi" w:cstheme="majorHAnsi"/>
          <w:sz w:val="22"/>
          <w:szCs w:val="22"/>
        </w:rPr>
        <w:t xml:space="preserve">class meetings are regularly </w:t>
      </w:r>
      <w:r w:rsidR="007C17EA">
        <w:rPr>
          <w:rFonts w:asciiTheme="majorHAnsi" w:hAnsiTheme="majorHAnsi" w:cstheme="majorHAnsi"/>
          <w:sz w:val="22"/>
          <w:szCs w:val="22"/>
        </w:rPr>
        <w:t xml:space="preserve">provided over Zoom and </w:t>
      </w:r>
      <w:r w:rsidRPr="007C17EA">
        <w:rPr>
          <w:rFonts w:asciiTheme="majorHAnsi" w:hAnsiTheme="majorHAnsi" w:cstheme="majorHAnsi"/>
          <w:sz w:val="22"/>
          <w:szCs w:val="22"/>
        </w:rPr>
        <w:t>recorded for students’ review</w:t>
      </w:r>
      <w:r w:rsidR="007C17EA">
        <w:rPr>
          <w:rFonts w:asciiTheme="majorHAnsi" w:hAnsiTheme="majorHAnsi" w:cstheme="majorHAnsi"/>
          <w:sz w:val="22"/>
          <w:szCs w:val="22"/>
        </w:rPr>
        <w:t>, or if students are unable to attend in person</w:t>
      </w:r>
      <w:r w:rsidRPr="007C17EA">
        <w:rPr>
          <w:rFonts w:asciiTheme="majorHAnsi" w:hAnsiTheme="majorHAnsi" w:cstheme="majorHAnsi"/>
          <w:sz w:val="22"/>
          <w:szCs w:val="22"/>
        </w:rPr>
        <w:t xml:space="preserve">.  If you miss a class you are urged to watch the recording prior to the subsequent </w:t>
      </w:r>
      <w:r w:rsidR="007C17EA">
        <w:rPr>
          <w:rFonts w:asciiTheme="majorHAnsi" w:hAnsiTheme="majorHAnsi" w:cstheme="majorHAnsi"/>
          <w:sz w:val="22"/>
          <w:szCs w:val="22"/>
        </w:rPr>
        <w:t>class</w:t>
      </w:r>
      <w:r w:rsidRPr="007C17EA">
        <w:rPr>
          <w:rFonts w:asciiTheme="majorHAnsi" w:hAnsiTheme="majorHAnsi" w:cstheme="majorHAnsi"/>
          <w:sz w:val="22"/>
          <w:szCs w:val="22"/>
        </w:rPr>
        <w:t xml:space="preserve"> session.</w:t>
      </w:r>
    </w:p>
    <w:p w14:paraId="67934D2E" w14:textId="189B86B3" w:rsidR="00DD74F5" w:rsidRPr="007C17EA" w:rsidRDefault="001A11B3"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r w:rsidRPr="007C17EA">
        <w:rPr>
          <w:rFonts w:asciiTheme="majorHAnsi" w:hAnsiTheme="majorHAnsi" w:cstheme="majorHAnsi"/>
          <w:color w:val="000000"/>
          <w:sz w:val="22"/>
          <w:szCs w:val="22"/>
        </w:rPr>
        <w:t>Please review the</w:t>
      </w:r>
      <w:r w:rsidRPr="007C17EA">
        <w:rPr>
          <w:rFonts w:asciiTheme="majorHAnsi" w:eastAsia="Arial" w:hAnsiTheme="majorHAnsi" w:cstheme="majorHAnsi"/>
          <w:color w:val="1D1C1D"/>
          <w:sz w:val="22"/>
          <w:szCs w:val="22"/>
          <w:shd w:val="clear" w:color="auto" w:fill="F8F8F8"/>
        </w:rPr>
        <w:t> </w:t>
      </w:r>
      <w:hyperlink r:id="rId20">
        <w:r w:rsidRPr="007C17EA">
          <w:rPr>
            <w:rFonts w:asciiTheme="majorHAnsi" w:hAnsiTheme="majorHAnsi" w:cstheme="majorHAnsi"/>
            <w:color w:val="AB1500"/>
            <w:sz w:val="22"/>
            <w:szCs w:val="22"/>
          </w:rPr>
          <w:t>USC Price Zoom Etiquette Tips</w:t>
        </w:r>
      </w:hyperlink>
      <w:r w:rsidRPr="007C17EA">
        <w:rPr>
          <w:rFonts w:asciiTheme="majorHAnsi" w:eastAsia="Arial" w:hAnsiTheme="majorHAnsi" w:cstheme="majorHAnsi"/>
          <w:color w:val="1D1C1D"/>
          <w:sz w:val="22"/>
          <w:szCs w:val="22"/>
          <w:shd w:val="clear" w:color="auto" w:fill="F8F8F8"/>
        </w:rPr>
        <w:t> </w:t>
      </w:r>
      <w:r w:rsidRPr="007C17EA">
        <w:rPr>
          <w:rFonts w:asciiTheme="majorHAnsi" w:hAnsiTheme="majorHAnsi" w:cstheme="majorHAnsi"/>
          <w:color w:val="000000"/>
          <w:sz w:val="22"/>
          <w:szCs w:val="22"/>
        </w:rPr>
        <w:t xml:space="preserve">before attending your first session. You may find it helpful to periodically review this video throughout the semester. </w:t>
      </w:r>
    </w:p>
    <w:p w14:paraId="1904C0EB" w14:textId="77777777" w:rsidR="00DD74F5" w:rsidRPr="007C17EA" w:rsidRDefault="001A11B3">
      <w:pPr>
        <w:pStyle w:val="Heading3"/>
        <w:rPr>
          <w:rFonts w:asciiTheme="majorHAnsi" w:hAnsiTheme="majorHAnsi" w:cstheme="majorHAnsi"/>
          <w:sz w:val="22"/>
          <w:szCs w:val="22"/>
        </w:rPr>
      </w:pPr>
      <w:r w:rsidRPr="007C17EA">
        <w:rPr>
          <w:rFonts w:asciiTheme="majorHAnsi" w:hAnsiTheme="majorHAnsi" w:cstheme="majorHAnsi"/>
          <w:sz w:val="22"/>
          <w:szCs w:val="22"/>
        </w:rPr>
        <w:t>Grading Ranges</w:t>
      </w:r>
    </w:p>
    <w:p w14:paraId="6669BDBA" w14:textId="77777777" w:rsidR="00DD74F5" w:rsidRPr="007C17EA" w:rsidRDefault="001A11B3"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r w:rsidRPr="007C17EA">
        <w:rPr>
          <w:rFonts w:asciiTheme="majorHAnsi" w:hAnsiTheme="majorHAnsi" w:cstheme="majorHAnsi"/>
          <w:color w:val="000000"/>
          <w:sz w:val="22"/>
          <w:szCs w:val="22"/>
        </w:rPr>
        <w:t>USC’s grading system uses both numbers and letters, ranging from 1.9 to 4.1, with letter-grade equivalents ranging from F to A+. “CR” is assigned as the satisfactory passing grade in courses that are not graded numerically or when a student has elected to take a numerically graded course on a CR/D/F basis.</w:t>
      </w:r>
    </w:p>
    <w:p w14:paraId="01A077EB" w14:textId="77777777" w:rsidR="00DD74F5" w:rsidRPr="007C17EA" w:rsidRDefault="00DD74F5">
      <w:pPr>
        <w:pBdr>
          <w:top w:val="nil"/>
          <w:left w:val="nil"/>
          <w:bottom w:val="nil"/>
          <w:right w:val="nil"/>
          <w:between w:val="nil"/>
        </w:pBdr>
        <w:spacing w:after="0" w:line="240" w:lineRule="auto"/>
        <w:rPr>
          <w:rFonts w:asciiTheme="majorHAnsi" w:eastAsia="Times New Roman" w:hAnsiTheme="majorHAnsi" w:cstheme="majorHAnsi"/>
          <w:color w:val="000000"/>
          <w:sz w:val="22"/>
          <w:szCs w:val="22"/>
        </w:rPr>
      </w:pPr>
    </w:p>
    <w:tbl>
      <w:tblPr>
        <w:tblStyle w:val="17"/>
        <w:tblW w:w="550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55"/>
        <w:gridCol w:w="1546"/>
        <w:gridCol w:w="1800"/>
      </w:tblGrid>
      <w:tr w:rsidR="00DD74F5" w:rsidRPr="007C17EA" w14:paraId="45876677" w14:textId="77777777" w:rsidTr="007C17EA">
        <w:trPr>
          <w:tblHeader/>
          <w:jc w:val="center"/>
        </w:trPr>
        <w:tc>
          <w:tcPr>
            <w:tcW w:w="2155" w:type="dxa"/>
            <w:shd w:val="clear" w:color="auto" w:fill="D9D9D9"/>
          </w:tcPr>
          <w:p w14:paraId="042522B4" w14:textId="77777777" w:rsidR="00DD74F5" w:rsidRPr="007C17EA" w:rsidRDefault="001A11B3">
            <w:pPr>
              <w:jc w:val="center"/>
              <w:rPr>
                <w:rFonts w:asciiTheme="majorHAnsi" w:hAnsiTheme="majorHAnsi" w:cstheme="majorHAnsi"/>
                <w:b/>
                <w:color w:val="000000"/>
                <w:sz w:val="22"/>
                <w:szCs w:val="22"/>
              </w:rPr>
            </w:pPr>
            <w:r w:rsidRPr="007C17EA">
              <w:rPr>
                <w:rFonts w:asciiTheme="majorHAnsi" w:hAnsiTheme="majorHAnsi" w:cstheme="majorHAnsi"/>
                <w:b/>
                <w:color w:val="000000"/>
                <w:sz w:val="22"/>
                <w:szCs w:val="22"/>
              </w:rPr>
              <w:t>Percentage/Course Total</w:t>
            </w:r>
          </w:p>
        </w:tc>
        <w:tc>
          <w:tcPr>
            <w:tcW w:w="1546" w:type="dxa"/>
            <w:shd w:val="clear" w:color="auto" w:fill="D9D9D9"/>
          </w:tcPr>
          <w:p w14:paraId="1FB10CF0" w14:textId="77777777" w:rsidR="00DD74F5" w:rsidRPr="007C17EA" w:rsidRDefault="001A11B3">
            <w:pPr>
              <w:jc w:val="center"/>
              <w:rPr>
                <w:rFonts w:asciiTheme="majorHAnsi" w:hAnsiTheme="majorHAnsi" w:cstheme="majorHAnsi"/>
                <w:b/>
                <w:color w:val="000000"/>
                <w:sz w:val="22"/>
                <w:szCs w:val="22"/>
              </w:rPr>
            </w:pPr>
            <w:r w:rsidRPr="007C17EA">
              <w:rPr>
                <w:rFonts w:asciiTheme="majorHAnsi" w:hAnsiTheme="majorHAnsi" w:cstheme="majorHAnsi"/>
                <w:b/>
                <w:color w:val="000000"/>
                <w:sz w:val="22"/>
                <w:szCs w:val="22"/>
              </w:rPr>
              <w:t>Numerical Grade</w:t>
            </w:r>
          </w:p>
        </w:tc>
        <w:tc>
          <w:tcPr>
            <w:tcW w:w="1800" w:type="dxa"/>
            <w:shd w:val="clear" w:color="auto" w:fill="D9D9D9"/>
          </w:tcPr>
          <w:p w14:paraId="664A2557" w14:textId="77777777" w:rsidR="00DD74F5" w:rsidRPr="007C17EA" w:rsidRDefault="001A11B3">
            <w:pPr>
              <w:jc w:val="center"/>
              <w:rPr>
                <w:rFonts w:asciiTheme="majorHAnsi" w:hAnsiTheme="majorHAnsi" w:cstheme="majorHAnsi"/>
                <w:b/>
                <w:color w:val="000000"/>
                <w:sz w:val="22"/>
                <w:szCs w:val="22"/>
              </w:rPr>
            </w:pPr>
            <w:r w:rsidRPr="007C17EA">
              <w:rPr>
                <w:rFonts w:asciiTheme="majorHAnsi" w:hAnsiTheme="majorHAnsi" w:cstheme="majorHAnsi"/>
                <w:b/>
                <w:color w:val="000000"/>
                <w:sz w:val="22"/>
                <w:szCs w:val="22"/>
              </w:rPr>
              <w:t>Letter Grade</w:t>
            </w:r>
          </w:p>
        </w:tc>
      </w:tr>
      <w:tr w:rsidR="00DD74F5" w:rsidRPr="007C17EA" w14:paraId="468129C8" w14:textId="77777777" w:rsidTr="007C17EA">
        <w:trPr>
          <w:jc w:val="center"/>
        </w:trPr>
        <w:tc>
          <w:tcPr>
            <w:tcW w:w="2155" w:type="dxa"/>
          </w:tcPr>
          <w:p w14:paraId="7672BBF1"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100</w:t>
            </w:r>
          </w:p>
        </w:tc>
        <w:tc>
          <w:tcPr>
            <w:tcW w:w="1546" w:type="dxa"/>
          </w:tcPr>
          <w:p w14:paraId="2AA10F27"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4.1</w:t>
            </w:r>
          </w:p>
        </w:tc>
        <w:tc>
          <w:tcPr>
            <w:tcW w:w="1800" w:type="dxa"/>
          </w:tcPr>
          <w:p w14:paraId="7FCF15B8"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A+</w:t>
            </w:r>
          </w:p>
        </w:tc>
      </w:tr>
      <w:tr w:rsidR="00DD74F5" w:rsidRPr="007C17EA" w14:paraId="4DC5FF59" w14:textId="77777777" w:rsidTr="007C17EA">
        <w:trPr>
          <w:jc w:val="center"/>
        </w:trPr>
        <w:tc>
          <w:tcPr>
            <w:tcW w:w="2155" w:type="dxa"/>
          </w:tcPr>
          <w:p w14:paraId="642CB3E6"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95–99</w:t>
            </w:r>
          </w:p>
        </w:tc>
        <w:tc>
          <w:tcPr>
            <w:tcW w:w="1546" w:type="dxa"/>
          </w:tcPr>
          <w:p w14:paraId="21FE5B05"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4.0</w:t>
            </w:r>
          </w:p>
        </w:tc>
        <w:tc>
          <w:tcPr>
            <w:tcW w:w="1800" w:type="dxa"/>
          </w:tcPr>
          <w:p w14:paraId="35F687D6"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A</w:t>
            </w:r>
          </w:p>
        </w:tc>
      </w:tr>
      <w:tr w:rsidR="00DD74F5" w:rsidRPr="007C17EA" w14:paraId="61CAFF83" w14:textId="77777777" w:rsidTr="007C17EA">
        <w:trPr>
          <w:jc w:val="center"/>
        </w:trPr>
        <w:tc>
          <w:tcPr>
            <w:tcW w:w="2155" w:type="dxa"/>
          </w:tcPr>
          <w:p w14:paraId="3FE1D4AC"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90–94</w:t>
            </w:r>
          </w:p>
        </w:tc>
        <w:tc>
          <w:tcPr>
            <w:tcW w:w="1546" w:type="dxa"/>
          </w:tcPr>
          <w:p w14:paraId="55A88E12"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3.7</w:t>
            </w:r>
          </w:p>
        </w:tc>
        <w:tc>
          <w:tcPr>
            <w:tcW w:w="1800" w:type="dxa"/>
          </w:tcPr>
          <w:p w14:paraId="3E5F1C3C"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A-</w:t>
            </w:r>
          </w:p>
        </w:tc>
      </w:tr>
      <w:tr w:rsidR="00DD74F5" w:rsidRPr="007C17EA" w14:paraId="46DA967A" w14:textId="77777777" w:rsidTr="007C17EA">
        <w:trPr>
          <w:jc w:val="center"/>
        </w:trPr>
        <w:tc>
          <w:tcPr>
            <w:tcW w:w="2155" w:type="dxa"/>
          </w:tcPr>
          <w:p w14:paraId="43B93D00"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87–89</w:t>
            </w:r>
          </w:p>
        </w:tc>
        <w:tc>
          <w:tcPr>
            <w:tcW w:w="1546" w:type="dxa"/>
          </w:tcPr>
          <w:p w14:paraId="3465FEDE"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3.3</w:t>
            </w:r>
          </w:p>
        </w:tc>
        <w:tc>
          <w:tcPr>
            <w:tcW w:w="1800" w:type="dxa"/>
          </w:tcPr>
          <w:p w14:paraId="47EF6AA2"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B+</w:t>
            </w:r>
          </w:p>
        </w:tc>
      </w:tr>
      <w:tr w:rsidR="00DD74F5" w:rsidRPr="007C17EA" w14:paraId="7E7F370E" w14:textId="77777777" w:rsidTr="007C17EA">
        <w:trPr>
          <w:jc w:val="center"/>
        </w:trPr>
        <w:tc>
          <w:tcPr>
            <w:tcW w:w="2155" w:type="dxa"/>
          </w:tcPr>
          <w:p w14:paraId="4ACBA70D"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83–86</w:t>
            </w:r>
          </w:p>
        </w:tc>
        <w:tc>
          <w:tcPr>
            <w:tcW w:w="1546" w:type="dxa"/>
          </w:tcPr>
          <w:p w14:paraId="01D48AAC"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3.0</w:t>
            </w:r>
          </w:p>
        </w:tc>
        <w:tc>
          <w:tcPr>
            <w:tcW w:w="1800" w:type="dxa"/>
          </w:tcPr>
          <w:p w14:paraId="51D8A001"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B</w:t>
            </w:r>
          </w:p>
        </w:tc>
      </w:tr>
      <w:tr w:rsidR="00DD74F5" w:rsidRPr="007C17EA" w14:paraId="4346FEAC" w14:textId="77777777" w:rsidTr="007C17EA">
        <w:trPr>
          <w:jc w:val="center"/>
        </w:trPr>
        <w:tc>
          <w:tcPr>
            <w:tcW w:w="2155" w:type="dxa"/>
          </w:tcPr>
          <w:p w14:paraId="71700C1E"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80–82</w:t>
            </w:r>
          </w:p>
        </w:tc>
        <w:tc>
          <w:tcPr>
            <w:tcW w:w="1546" w:type="dxa"/>
          </w:tcPr>
          <w:p w14:paraId="728DDACC"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2.7</w:t>
            </w:r>
          </w:p>
        </w:tc>
        <w:tc>
          <w:tcPr>
            <w:tcW w:w="1800" w:type="dxa"/>
          </w:tcPr>
          <w:p w14:paraId="470FC6B6"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B-</w:t>
            </w:r>
          </w:p>
        </w:tc>
      </w:tr>
      <w:tr w:rsidR="00DD74F5" w:rsidRPr="007C17EA" w14:paraId="0CE8A772" w14:textId="77777777" w:rsidTr="007C17EA">
        <w:trPr>
          <w:jc w:val="center"/>
        </w:trPr>
        <w:tc>
          <w:tcPr>
            <w:tcW w:w="2155" w:type="dxa"/>
          </w:tcPr>
          <w:p w14:paraId="15A4DC10"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77–79</w:t>
            </w:r>
          </w:p>
        </w:tc>
        <w:tc>
          <w:tcPr>
            <w:tcW w:w="1546" w:type="dxa"/>
          </w:tcPr>
          <w:p w14:paraId="709B018A"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2.5</w:t>
            </w:r>
          </w:p>
        </w:tc>
        <w:tc>
          <w:tcPr>
            <w:tcW w:w="1800" w:type="dxa"/>
          </w:tcPr>
          <w:p w14:paraId="05970006"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C+</w:t>
            </w:r>
          </w:p>
        </w:tc>
      </w:tr>
      <w:tr w:rsidR="00DD74F5" w:rsidRPr="007C17EA" w14:paraId="4CA724C0" w14:textId="77777777" w:rsidTr="007C17EA">
        <w:trPr>
          <w:jc w:val="center"/>
        </w:trPr>
        <w:tc>
          <w:tcPr>
            <w:tcW w:w="2155" w:type="dxa"/>
          </w:tcPr>
          <w:p w14:paraId="546C7BE8"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73–76</w:t>
            </w:r>
          </w:p>
        </w:tc>
        <w:tc>
          <w:tcPr>
            <w:tcW w:w="1546" w:type="dxa"/>
          </w:tcPr>
          <w:p w14:paraId="60DA55A9"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2.4</w:t>
            </w:r>
          </w:p>
        </w:tc>
        <w:tc>
          <w:tcPr>
            <w:tcW w:w="1800" w:type="dxa"/>
          </w:tcPr>
          <w:p w14:paraId="33152131"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C</w:t>
            </w:r>
          </w:p>
        </w:tc>
      </w:tr>
      <w:tr w:rsidR="00DD74F5" w:rsidRPr="007C17EA" w14:paraId="142651E2" w14:textId="77777777" w:rsidTr="007C17EA">
        <w:trPr>
          <w:jc w:val="center"/>
        </w:trPr>
        <w:tc>
          <w:tcPr>
            <w:tcW w:w="2155" w:type="dxa"/>
          </w:tcPr>
          <w:p w14:paraId="4339AC52"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70-72</w:t>
            </w:r>
          </w:p>
        </w:tc>
        <w:tc>
          <w:tcPr>
            <w:tcW w:w="1546" w:type="dxa"/>
          </w:tcPr>
          <w:p w14:paraId="1694A613"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2.2</w:t>
            </w:r>
          </w:p>
        </w:tc>
        <w:tc>
          <w:tcPr>
            <w:tcW w:w="1800" w:type="dxa"/>
          </w:tcPr>
          <w:p w14:paraId="5FB3EA09"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C-</w:t>
            </w:r>
          </w:p>
        </w:tc>
      </w:tr>
      <w:tr w:rsidR="00DD74F5" w:rsidRPr="007C17EA" w14:paraId="35A6FC41" w14:textId="77777777" w:rsidTr="007C17EA">
        <w:trPr>
          <w:jc w:val="center"/>
        </w:trPr>
        <w:tc>
          <w:tcPr>
            <w:tcW w:w="2155" w:type="dxa"/>
          </w:tcPr>
          <w:p w14:paraId="1D20132F"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lastRenderedPageBreak/>
              <w:t>60–69</w:t>
            </w:r>
          </w:p>
        </w:tc>
        <w:tc>
          <w:tcPr>
            <w:tcW w:w="1546" w:type="dxa"/>
          </w:tcPr>
          <w:p w14:paraId="728CC1DF"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2.0</w:t>
            </w:r>
          </w:p>
        </w:tc>
        <w:tc>
          <w:tcPr>
            <w:tcW w:w="1800" w:type="dxa"/>
          </w:tcPr>
          <w:p w14:paraId="1CF67303"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D</w:t>
            </w:r>
          </w:p>
        </w:tc>
      </w:tr>
      <w:tr w:rsidR="00DD74F5" w:rsidRPr="007C17EA" w14:paraId="3CF67D67" w14:textId="77777777" w:rsidTr="007C17EA">
        <w:trPr>
          <w:jc w:val="center"/>
        </w:trPr>
        <w:tc>
          <w:tcPr>
            <w:tcW w:w="2155" w:type="dxa"/>
          </w:tcPr>
          <w:p w14:paraId="62280BFF"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59 and below</w:t>
            </w:r>
          </w:p>
        </w:tc>
        <w:tc>
          <w:tcPr>
            <w:tcW w:w="1546" w:type="dxa"/>
          </w:tcPr>
          <w:p w14:paraId="3561334B"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1.9</w:t>
            </w:r>
          </w:p>
        </w:tc>
        <w:tc>
          <w:tcPr>
            <w:tcW w:w="1800" w:type="dxa"/>
          </w:tcPr>
          <w:p w14:paraId="6CF98F2C" w14:textId="77777777" w:rsidR="00DD74F5" w:rsidRPr="007C17EA" w:rsidRDefault="001A11B3" w:rsidP="007C17EA">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F</w:t>
            </w:r>
          </w:p>
        </w:tc>
      </w:tr>
    </w:tbl>
    <w:p w14:paraId="7D9B73E8" w14:textId="77777777" w:rsidR="00CD6F2A" w:rsidRPr="007C17EA" w:rsidRDefault="00CD6F2A" w:rsidP="00CD6F2A">
      <w:pPr>
        <w:spacing w:before="0" w:after="40"/>
        <w:jc w:val="both"/>
        <w:rPr>
          <w:rFonts w:asciiTheme="majorHAnsi" w:hAnsiTheme="majorHAnsi" w:cstheme="majorHAnsi"/>
          <w:b/>
          <w:bCs/>
          <w:sz w:val="22"/>
          <w:szCs w:val="22"/>
        </w:rPr>
      </w:pPr>
      <w:r w:rsidRPr="007C17EA">
        <w:rPr>
          <w:rFonts w:asciiTheme="majorHAnsi" w:hAnsiTheme="majorHAnsi" w:cstheme="majorHAnsi"/>
          <w:b/>
          <w:bCs/>
          <w:sz w:val="22"/>
          <w:szCs w:val="22"/>
        </w:rPr>
        <w:t>Course Notes</w:t>
      </w:r>
    </w:p>
    <w:p w14:paraId="4FBA74EE" w14:textId="231D96FB" w:rsidR="00CD6F2A" w:rsidRPr="007C17EA" w:rsidRDefault="00CD6F2A" w:rsidP="007C17EA">
      <w:pPr>
        <w:spacing w:before="0" w:after="40"/>
        <w:jc w:val="both"/>
        <w:rPr>
          <w:rFonts w:asciiTheme="majorHAnsi" w:hAnsiTheme="majorHAnsi" w:cstheme="majorHAnsi"/>
          <w:bCs/>
          <w:sz w:val="22"/>
          <w:szCs w:val="22"/>
        </w:rPr>
      </w:pPr>
      <w:r w:rsidRPr="007C17EA">
        <w:rPr>
          <w:rFonts w:asciiTheme="majorHAnsi" w:hAnsiTheme="majorHAnsi" w:cstheme="majorHAnsi"/>
          <w:bCs/>
          <w:sz w:val="22"/>
          <w:szCs w:val="22"/>
        </w:rPr>
        <w:t xml:space="preserve">Student </w:t>
      </w:r>
      <w:r w:rsidR="00E172DE">
        <w:rPr>
          <w:rFonts w:asciiTheme="majorHAnsi" w:hAnsiTheme="majorHAnsi" w:cstheme="majorHAnsi"/>
          <w:bCs/>
          <w:sz w:val="22"/>
          <w:szCs w:val="22"/>
        </w:rPr>
        <w:t>are</w:t>
      </w:r>
      <w:r w:rsidRPr="007C17EA">
        <w:rPr>
          <w:rFonts w:asciiTheme="majorHAnsi" w:hAnsiTheme="majorHAnsi" w:cstheme="majorHAnsi"/>
          <w:bCs/>
          <w:sz w:val="22"/>
          <w:szCs w:val="22"/>
        </w:rPr>
        <w:t xml:space="preserve"> expected to take notes in class.   Selected materials will be posted on Blackboard.  </w:t>
      </w:r>
    </w:p>
    <w:p w14:paraId="3F24ACCC" w14:textId="77777777" w:rsidR="00CD6F2A" w:rsidRPr="007C17EA" w:rsidRDefault="00CD6F2A" w:rsidP="007C17EA">
      <w:pPr>
        <w:spacing w:before="0" w:after="40"/>
        <w:jc w:val="both"/>
        <w:rPr>
          <w:rFonts w:asciiTheme="majorHAnsi" w:hAnsiTheme="majorHAnsi" w:cstheme="majorHAnsi"/>
          <w:b/>
          <w:bCs/>
          <w:sz w:val="22"/>
          <w:szCs w:val="22"/>
        </w:rPr>
      </w:pPr>
      <w:r w:rsidRPr="007C17EA">
        <w:rPr>
          <w:rFonts w:asciiTheme="majorHAnsi" w:hAnsiTheme="majorHAnsi" w:cstheme="majorHAnsi"/>
          <w:b/>
          <w:bCs/>
          <w:sz w:val="22"/>
          <w:szCs w:val="22"/>
        </w:rPr>
        <w:t>Technological Proficiency and Hardware/Software Required</w:t>
      </w:r>
    </w:p>
    <w:p w14:paraId="7D05DBE2" w14:textId="77777777" w:rsidR="00CD6F2A" w:rsidRPr="007C17EA" w:rsidRDefault="00CD6F2A" w:rsidP="007C17EA">
      <w:pPr>
        <w:spacing w:before="0" w:after="40"/>
        <w:jc w:val="both"/>
        <w:rPr>
          <w:rFonts w:asciiTheme="majorHAnsi" w:hAnsiTheme="majorHAnsi" w:cstheme="majorHAnsi"/>
          <w:bCs/>
          <w:sz w:val="22"/>
          <w:szCs w:val="22"/>
        </w:rPr>
      </w:pPr>
      <w:r w:rsidRPr="007C17EA">
        <w:rPr>
          <w:rFonts w:asciiTheme="majorHAnsi" w:hAnsiTheme="majorHAnsi" w:cstheme="majorHAnsi"/>
          <w:bCs/>
          <w:sz w:val="22"/>
          <w:szCs w:val="22"/>
        </w:rPr>
        <w:t>The class is expected to be live on campus though it may also be conducted concurrently or partially on line using the USC Zoom platform. Students will need access to both Zoom and Blackboard. Basic maps, diagrams and written reports and occasional spread sheets will be prepared. Microsoft Word or other compatible word processing is required for written documents. Presentation materials should normally be prepared using Microsoft Power Point. Microsoft Excel is the preferred format for spread sheets. Most assignments are expected to be submitted electronically. Exhibits, selected reading assignments and supplemental materials will be posted in PDF, Word, Power Point or Excel format on Blackboard, usually organized by week for ease of access.</w:t>
      </w:r>
    </w:p>
    <w:p w14:paraId="2BB8381F" w14:textId="77777777" w:rsidR="00DD74F5" w:rsidRPr="007C17EA" w:rsidRDefault="001A11B3">
      <w:pPr>
        <w:pStyle w:val="Heading2"/>
        <w:rPr>
          <w:rFonts w:asciiTheme="majorHAnsi" w:hAnsiTheme="majorHAnsi" w:cstheme="majorHAnsi"/>
          <w:sz w:val="22"/>
          <w:szCs w:val="22"/>
        </w:rPr>
      </w:pPr>
      <w:r w:rsidRPr="007C17EA">
        <w:rPr>
          <w:rFonts w:asciiTheme="majorHAnsi" w:hAnsiTheme="majorHAnsi" w:cstheme="majorHAnsi"/>
          <w:sz w:val="22"/>
          <w:szCs w:val="22"/>
        </w:rPr>
        <w:t>TECHNOLOGY REQUIREMENTS AND SUPPORT</w:t>
      </w:r>
    </w:p>
    <w:p w14:paraId="554DC531" w14:textId="77777777" w:rsidR="00DD74F5" w:rsidRPr="007C17EA" w:rsidRDefault="001A11B3">
      <w:pPr>
        <w:pStyle w:val="Heading3"/>
        <w:rPr>
          <w:rFonts w:asciiTheme="majorHAnsi" w:hAnsiTheme="majorHAnsi" w:cstheme="majorHAnsi"/>
          <w:sz w:val="22"/>
          <w:szCs w:val="22"/>
        </w:rPr>
      </w:pPr>
      <w:r w:rsidRPr="007C17EA">
        <w:rPr>
          <w:rFonts w:asciiTheme="majorHAnsi" w:hAnsiTheme="majorHAnsi" w:cstheme="majorHAnsi"/>
          <w:sz w:val="22"/>
          <w:szCs w:val="22"/>
        </w:rPr>
        <w:t>Platforms Used in This Class</w:t>
      </w:r>
    </w:p>
    <w:p w14:paraId="2392D107" w14:textId="69FE6CF6" w:rsidR="00DD74F5" w:rsidRPr="007C17EA" w:rsidRDefault="007C17EA" w:rsidP="007C17EA">
      <w:pPr>
        <w:spacing w:before="0" w:after="40"/>
        <w:rPr>
          <w:rFonts w:asciiTheme="majorHAnsi" w:hAnsiTheme="majorHAnsi" w:cstheme="majorHAnsi"/>
          <w:sz w:val="22"/>
          <w:szCs w:val="22"/>
        </w:rPr>
      </w:pPr>
      <w:r>
        <w:rPr>
          <w:rFonts w:asciiTheme="majorHAnsi" w:hAnsiTheme="majorHAnsi" w:cstheme="majorHAnsi"/>
          <w:sz w:val="22"/>
          <w:szCs w:val="22"/>
        </w:rPr>
        <w:t>The</w:t>
      </w:r>
      <w:r w:rsidR="001A11B3" w:rsidRPr="007C17EA">
        <w:rPr>
          <w:rFonts w:asciiTheme="majorHAnsi" w:hAnsiTheme="majorHAnsi" w:cstheme="majorHAnsi"/>
          <w:sz w:val="22"/>
          <w:szCs w:val="22"/>
        </w:rPr>
        <w:t xml:space="preserve"> class will be conducted on</w:t>
      </w:r>
      <w:r>
        <w:rPr>
          <w:rFonts w:asciiTheme="majorHAnsi" w:hAnsiTheme="majorHAnsi" w:cstheme="majorHAnsi"/>
          <w:sz w:val="22"/>
          <w:szCs w:val="22"/>
        </w:rPr>
        <w:t xml:space="preserve"> one or more of</w:t>
      </w:r>
      <w:r w:rsidR="001A11B3" w:rsidRPr="007C17EA">
        <w:rPr>
          <w:rFonts w:asciiTheme="majorHAnsi" w:hAnsiTheme="majorHAnsi" w:cstheme="majorHAnsi"/>
          <w:sz w:val="22"/>
          <w:szCs w:val="22"/>
        </w:rPr>
        <w:t xml:space="preserve"> the following platforms:</w:t>
      </w:r>
    </w:p>
    <w:p w14:paraId="5269C66B" w14:textId="77777777" w:rsidR="00DD74F5" w:rsidRPr="007C17EA" w:rsidRDefault="00000000" w:rsidP="007C17EA">
      <w:pPr>
        <w:spacing w:before="0" w:after="40"/>
        <w:rPr>
          <w:rFonts w:asciiTheme="majorHAnsi" w:hAnsiTheme="majorHAnsi" w:cstheme="majorHAnsi"/>
          <w:b/>
          <w:sz w:val="22"/>
          <w:szCs w:val="22"/>
        </w:rPr>
      </w:pPr>
      <w:hyperlink r:id="rId21">
        <w:r w:rsidR="001A11B3" w:rsidRPr="007C17EA">
          <w:rPr>
            <w:rFonts w:asciiTheme="majorHAnsi" w:hAnsiTheme="majorHAnsi" w:cstheme="majorHAnsi"/>
            <w:b/>
            <w:color w:val="AB1500"/>
            <w:sz w:val="22"/>
            <w:szCs w:val="22"/>
            <w:u w:val="single"/>
          </w:rPr>
          <w:t>Blackboard</w:t>
        </w:r>
      </w:hyperlink>
      <w:r w:rsidR="001A11B3" w:rsidRPr="007C17EA">
        <w:rPr>
          <w:rFonts w:asciiTheme="majorHAnsi" w:hAnsiTheme="majorHAnsi" w:cstheme="majorHAnsi"/>
          <w:color w:val="AB1500"/>
          <w:sz w:val="22"/>
          <w:szCs w:val="22"/>
        </w:rPr>
        <w:t xml:space="preserve"> – Learning Management System</w:t>
      </w:r>
    </w:p>
    <w:p w14:paraId="3EEDDEA6" w14:textId="7946652D" w:rsidR="00DD74F5" w:rsidRPr="007C17EA" w:rsidRDefault="001A11B3" w:rsidP="00BC2A13">
      <w:pPr>
        <w:numPr>
          <w:ilvl w:val="0"/>
          <w:numId w:val="8"/>
        </w:numPr>
        <w:pBdr>
          <w:top w:val="nil"/>
          <w:left w:val="nil"/>
          <w:bottom w:val="nil"/>
          <w:right w:val="nil"/>
          <w:between w:val="nil"/>
        </w:pBdr>
        <w:spacing w:before="0" w:after="40"/>
        <w:jc w:val="both"/>
        <w:rPr>
          <w:rFonts w:asciiTheme="majorHAnsi" w:hAnsiTheme="majorHAnsi" w:cstheme="majorHAnsi"/>
          <w:b/>
          <w:color w:val="000000"/>
          <w:sz w:val="22"/>
          <w:szCs w:val="22"/>
        </w:rPr>
      </w:pPr>
      <w:r w:rsidRPr="007C17EA">
        <w:rPr>
          <w:rFonts w:asciiTheme="majorHAnsi" w:hAnsiTheme="majorHAnsi" w:cstheme="majorHAnsi"/>
          <w:color w:val="000000"/>
          <w:sz w:val="22"/>
          <w:szCs w:val="22"/>
        </w:rPr>
        <w:t xml:space="preserve">This is </w:t>
      </w:r>
      <w:r w:rsidR="007C17EA">
        <w:rPr>
          <w:rFonts w:asciiTheme="majorHAnsi" w:hAnsiTheme="majorHAnsi" w:cstheme="majorHAnsi"/>
          <w:color w:val="000000"/>
          <w:sz w:val="22"/>
          <w:szCs w:val="22"/>
        </w:rPr>
        <w:t>the</w:t>
      </w:r>
      <w:r w:rsidRPr="007C17EA">
        <w:rPr>
          <w:rFonts w:asciiTheme="majorHAnsi" w:hAnsiTheme="majorHAnsi" w:cstheme="majorHAnsi"/>
          <w:color w:val="000000"/>
          <w:sz w:val="22"/>
          <w:szCs w:val="22"/>
        </w:rPr>
        <w:t xml:space="preserve"> main course site, where you will find learning materials, assignments, Zoom links, and other class materials.</w:t>
      </w:r>
    </w:p>
    <w:p w14:paraId="46834FBC" w14:textId="77777777" w:rsidR="00DD74F5" w:rsidRPr="007C17EA" w:rsidRDefault="001A11B3" w:rsidP="00BC2A13">
      <w:pPr>
        <w:numPr>
          <w:ilvl w:val="0"/>
          <w:numId w:val="8"/>
        </w:numPr>
        <w:pBdr>
          <w:top w:val="nil"/>
          <w:left w:val="nil"/>
          <w:bottom w:val="nil"/>
          <w:right w:val="nil"/>
          <w:between w:val="nil"/>
        </w:pBdr>
        <w:spacing w:before="0" w:after="40"/>
        <w:jc w:val="both"/>
        <w:rPr>
          <w:rFonts w:asciiTheme="majorHAnsi" w:hAnsiTheme="majorHAnsi" w:cstheme="majorHAnsi"/>
          <w:b/>
          <w:color w:val="000000"/>
          <w:sz w:val="22"/>
          <w:szCs w:val="22"/>
        </w:rPr>
      </w:pPr>
      <w:r w:rsidRPr="007C17EA">
        <w:rPr>
          <w:rFonts w:asciiTheme="majorHAnsi" w:hAnsiTheme="majorHAnsi" w:cstheme="majorHAnsi"/>
          <w:color w:val="000000"/>
          <w:sz w:val="22"/>
          <w:szCs w:val="22"/>
        </w:rPr>
        <w:t xml:space="preserve">All students are automatically enrolled in Blackboard courses before the start of the semester. </w:t>
      </w:r>
    </w:p>
    <w:p w14:paraId="3696B970" w14:textId="77777777" w:rsidR="00DD74F5" w:rsidRPr="007C17EA" w:rsidRDefault="001A11B3" w:rsidP="00BC2A13">
      <w:pPr>
        <w:numPr>
          <w:ilvl w:val="0"/>
          <w:numId w:val="8"/>
        </w:numPr>
        <w:pBdr>
          <w:top w:val="nil"/>
          <w:left w:val="nil"/>
          <w:bottom w:val="nil"/>
          <w:right w:val="nil"/>
          <w:between w:val="nil"/>
        </w:pBdr>
        <w:spacing w:before="0" w:after="40"/>
        <w:jc w:val="both"/>
        <w:rPr>
          <w:rFonts w:asciiTheme="majorHAnsi" w:hAnsiTheme="majorHAnsi" w:cstheme="majorHAnsi"/>
          <w:b/>
          <w:color w:val="000000"/>
          <w:sz w:val="22"/>
          <w:szCs w:val="22"/>
        </w:rPr>
      </w:pPr>
      <w:r w:rsidRPr="007C17EA">
        <w:rPr>
          <w:rFonts w:asciiTheme="majorHAnsi" w:hAnsiTheme="majorHAnsi" w:cstheme="majorHAnsi"/>
          <w:color w:val="000000"/>
          <w:sz w:val="22"/>
          <w:szCs w:val="22"/>
        </w:rPr>
        <w:t xml:space="preserve">If you are new to Blackboard, </w:t>
      </w:r>
      <w:hyperlink r:id="rId22">
        <w:r w:rsidRPr="007C17EA">
          <w:rPr>
            <w:rFonts w:asciiTheme="majorHAnsi" w:hAnsiTheme="majorHAnsi" w:cstheme="majorHAnsi"/>
            <w:color w:val="AB1500"/>
            <w:sz w:val="22"/>
            <w:szCs w:val="22"/>
            <w:u w:val="single"/>
          </w:rPr>
          <w:t>please review this introductory video</w:t>
        </w:r>
      </w:hyperlink>
      <w:r w:rsidRPr="007C17EA">
        <w:rPr>
          <w:rFonts w:asciiTheme="majorHAnsi" w:hAnsiTheme="majorHAnsi" w:cstheme="majorHAnsi"/>
          <w:color w:val="000000"/>
          <w:sz w:val="22"/>
          <w:szCs w:val="22"/>
        </w:rPr>
        <w:t xml:space="preserve"> to familiarize yourself with the platform.</w:t>
      </w:r>
    </w:p>
    <w:p w14:paraId="4F54C4DE" w14:textId="77777777" w:rsidR="00DD74F5" w:rsidRPr="007C17EA" w:rsidRDefault="00000000" w:rsidP="007C17EA">
      <w:pPr>
        <w:spacing w:before="0" w:after="40"/>
        <w:rPr>
          <w:rFonts w:asciiTheme="majorHAnsi" w:hAnsiTheme="majorHAnsi" w:cstheme="majorHAnsi"/>
          <w:b/>
          <w:sz w:val="22"/>
          <w:szCs w:val="22"/>
        </w:rPr>
      </w:pPr>
      <w:hyperlink r:id="rId23">
        <w:r w:rsidR="001A11B3" w:rsidRPr="007C17EA">
          <w:rPr>
            <w:rFonts w:asciiTheme="majorHAnsi" w:hAnsiTheme="majorHAnsi" w:cstheme="majorHAnsi"/>
            <w:b/>
            <w:color w:val="AB1500"/>
            <w:sz w:val="22"/>
            <w:szCs w:val="22"/>
            <w:u w:val="single"/>
          </w:rPr>
          <w:t>Zoom</w:t>
        </w:r>
      </w:hyperlink>
      <w:r w:rsidR="001A11B3" w:rsidRPr="007C17EA">
        <w:rPr>
          <w:rFonts w:asciiTheme="majorHAnsi" w:hAnsiTheme="majorHAnsi" w:cstheme="majorHAnsi"/>
          <w:color w:val="AB1500"/>
          <w:sz w:val="22"/>
          <w:szCs w:val="22"/>
        </w:rPr>
        <w:t xml:space="preserve"> – Video Conferencing</w:t>
      </w:r>
    </w:p>
    <w:p w14:paraId="021167EC" w14:textId="77777777" w:rsidR="00DD74F5" w:rsidRPr="007C17EA" w:rsidRDefault="001A11B3" w:rsidP="00BC2A13">
      <w:pPr>
        <w:numPr>
          <w:ilvl w:val="0"/>
          <w:numId w:val="9"/>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color w:val="000000"/>
          <w:sz w:val="22"/>
          <w:szCs w:val="22"/>
        </w:rPr>
        <w:t>Online synchronous sessions and virtual office hours will take place on Zoom.</w:t>
      </w:r>
    </w:p>
    <w:p w14:paraId="70CC7218" w14:textId="77777777" w:rsidR="00DD74F5" w:rsidRPr="007C17EA" w:rsidRDefault="001A11B3" w:rsidP="00BC2A13">
      <w:pPr>
        <w:numPr>
          <w:ilvl w:val="0"/>
          <w:numId w:val="9"/>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color w:val="000000"/>
          <w:sz w:val="22"/>
          <w:szCs w:val="22"/>
        </w:rPr>
        <w:t>All students will access the Zoom meetings through our Blackboard course.</w:t>
      </w:r>
    </w:p>
    <w:p w14:paraId="6E41E6BF" w14:textId="77777777" w:rsidR="00DD74F5" w:rsidRPr="007C17EA" w:rsidRDefault="001A11B3" w:rsidP="00BC2A13">
      <w:pPr>
        <w:numPr>
          <w:ilvl w:val="0"/>
          <w:numId w:val="9"/>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color w:val="000000"/>
          <w:sz w:val="22"/>
          <w:szCs w:val="22"/>
        </w:rPr>
        <w:t xml:space="preserve">Please review </w:t>
      </w:r>
      <w:hyperlink r:id="rId24">
        <w:r w:rsidRPr="007C17EA">
          <w:rPr>
            <w:rFonts w:asciiTheme="majorHAnsi" w:hAnsiTheme="majorHAnsi" w:cstheme="majorHAnsi"/>
            <w:color w:val="AB1500"/>
            <w:sz w:val="22"/>
            <w:szCs w:val="22"/>
            <w:u w:val="single"/>
          </w:rPr>
          <w:t>Zoom etiquette tips</w:t>
        </w:r>
      </w:hyperlink>
      <w:r w:rsidRPr="007C17EA">
        <w:rPr>
          <w:rFonts w:asciiTheme="majorHAnsi" w:hAnsiTheme="majorHAnsi" w:cstheme="majorHAnsi"/>
          <w:color w:val="000000"/>
          <w:sz w:val="22"/>
          <w:szCs w:val="22"/>
        </w:rPr>
        <w:t xml:space="preserve"> to be ready for our class sessions.</w:t>
      </w:r>
    </w:p>
    <w:p w14:paraId="713E3108" w14:textId="77777777" w:rsidR="00DD74F5" w:rsidRPr="007C17EA" w:rsidRDefault="00000000" w:rsidP="007C17EA">
      <w:pPr>
        <w:pBdr>
          <w:top w:val="nil"/>
          <w:left w:val="nil"/>
          <w:bottom w:val="nil"/>
          <w:right w:val="nil"/>
          <w:between w:val="nil"/>
        </w:pBdr>
        <w:spacing w:before="0" w:after="40"/>
        <w:rPr>
          <w:rFonts w:asciiTheme="majorHAnsi" w:hAnsiTheme="majorHAnsi" w:cstheme="majorHAnsi"/>
          <w:sz w:val="22"/>
          <w:szCs w:val="22"/>
        </w:rPr>
      </w:pPr>
      <w:hyperlink r:id="rId25">
        <w:proofErr w:type="spellStart"/>
        <w:r w:rsidR="001A11B3" w:rsidRPr="007C17EA">
          <w:rPr>
            <w:rFonts w:asciiTheme="majorHAnsi" w:hAnsiTheme="majorHAnsi" w:cstheme="majorHAnsi"/>
            <w:b/>
            <w:color w:val="AB1500"/>
            <w:sz w:val="22"/>
            <w:szCs w:val="22"/>
            <w:u w:val="single"/>
          </w:rPr>
          <w:t>Perusall</w:t>
        </w:r>
        <w:proofErr w:type="spellEnd"/>
        <w:r w:rsidR="001A11B3" w:rsidRPr="007C17EA">
          <w:rPr>
            <w:rFonts w:asciiTheme="majorHAnsi" w:hAnsiTheme="majorHAnsi" w:cstheme="majorHAnsi"/>
            <w:b/>
            <w:color w:val="AB1500"/>
            <w:sz w:val="22"/>
            <w:szCs w:val="22"/>
            <w:u w:val="single"/>
          </w:rPr>
          <w:t xml:space="preserve"> </w:t>
        </w:r>
      </w:hyperlink>
      <w:r w:rsidR="001A11B3" w:rsidRPr="007C17EA">
        <w:rPr>
          <w:rFonts w:asciiTheme="majorHAnsi" w:hAnsiTheme="majorHAnsi" w:cstheme="majorHAnsi"/>
          <w:color w:val="AB1500"/>
          <w:sz w:val="22"/>
          <w:szCs w:val="22"/>
        </w:rPr>
        <w:t>- Active reading and asynchronous discussion tool</w:t>
      </w:r>
    </w:p>
    <w:p w14:paraId="79EC05A6" w14:textId="77777777" w:rsidR="00DD74F5" w:rsidRPr="007C17EA" w:rsidRDefault="001A11B3" w:rsidP="00BC2A13">
      <w:pPr>
        <w:numPr>
          <w:ilvl w:val="0"/>
          <w:numId w:val="10"/>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sz w:val="22"/>
          <w:szCs w:val="22"/>
        </w:rPr>
        <w:t>E-reader platform that allows users to annotate and comment to the assigned readings.</w:t>
      </w:r>
    </w:p>
    <w:p w14:paraId="6EA1BA59" w14:textId="77777777" w:rsidR="00DD74F5" w:rsidRPr="007C17EA" w:rsidRDefault="001A11B3" w:rsidP="00BC2A13">
      <w:pPr>
        <w:numPr>
          <w:ilvl w:val="0"/>
          <w:numId w:val="10"/>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sz w:val="22"/>
          <w:szCs w:val="22"/>
        </w:rPr>
        <w:t xml:space="preserve">All students will access the </w:t>
      </w:r>
      <w:proofErr w:type="spellStart"/>
      <w:r w:rsidRPr="007C17EA">
        <w:rPr>
          <w:rFonts w:asciiTheme="majorHAnsi" w:hAnsiTheme="majorHAnsi" w:cstheme="majorHAnsi"/>
          <w:sz w:val="22"/>
          <w:szCs w:val="22"/>
        </w:rPr>
        <w:t>Perusall</w:t>
      </w:r>
      <w:proofErr w:type="spellEnd"/>
      <w:r w:rsidRPr="007C17EA">
        <w:rPr>
          <w:rFonts w:asciiTheme="majorHAnsi" w:hAnsiTheme="majorHAnsi" w:cstheme="majorHAnsi"/>
          <w:sz w:val="22"/>
          <w:szCs w:val="22"/>
        </w:rPr>
        <w:t xml:space="preserve"> readings through our Blackboard course.</w:t>
      </w:r>
    </w:p>
    <w:p w14:paraId="4D76CAB6" w14:textId="77777777" w:rsidR="00DD74F5" w:rsidRPr="007C17EA" w:rsidRDefault="00000000" w:rsidP="007C17EA">
      <w:pPr>
        <w:pBdr>
          <w:top w:val="nil"/>
          <w:left w:val="nil"/>
          <w:bottom w:val="nil"/>
          <w:right w:val="nil"/>
          <w:between w:val="nil"/>
        </w:pBdr>
        <w:spacing w:before="0" w:after="40"/>
        <w:rPr>
          <w:rFonts w:asciiTheme="majorHAnsi" w:hAnsiTheme="majorHAnsi" w:cstheme="majorHAnsi"/>
          <w:sz w:val="22"/>
          <w:szCs w:val="22"/>
        </w:rPr>
      </w:pPr>
      <w:hyperlink r:id="rId26">
        <w:r w:rsidR="001A11B3" w:rsidRPr="007C17EA">
          <w:rPr>
            <w:rFonts w:asciiTheme="majorHAnsi" w:hAnsiTheme="majorHAnsi" w:cstheme="majorHAnsi"/>
            <w:b/>
            <w:color w:val="AB1500"/>
            <w:sz w:val="22"/>
            <w:szCs w:val="22"/>
            <w:u w:val="single"/>
          </w:rPr>
          <w:t>Flipgrid</w:t>
        </w:r>
      </w:hyperlink>
      <w:r w:rsidR="001A11B3" w:rsidRPr="007C17EA">
        <w:rPr>
          <w:rFonts w:asciiTheme="majorHAnsi" w:hAnsiTheme="majorHAnsi" w:cstheme="majorHAnsi"/>
          <w:color w:val="AB1500"/>
          <w:sz w:val="22"/>
          <w:szCs w:val="22"/>
        </w:rPr>
        <w:t xml:space="preserve"> - Video discussion tool</w:t>
      </w:r>
    </w:p>
    <w:p w14:paraId="614B94FC" w14:textId="77777777" w:rsidR="00DD74F5" w:rsidRPr="007C17EA" w:rsidRDefault="001A11B3" w:rsidP="00BC2A13">
      <w:pPr>
        <w:numPr>
          <w:ilvl w:val="0"/>
          <w:numId w:val="11"/>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sz w:val="22"/>
          <w:szCs w:val="22"/>
        </w:rPr>
        <w:t>A synchronous video discussion platform that allows users to record and comment on other students' videos.</w:t>
      </w:r>
    </w:p>
    <w:p w14:paraId="2B9F84D4" w14:textId="77777777" w:rsidR="00DD74F5" w:rsidRPr="007C17EA" w:rsidRDefault="001A11B3" w:rsidP="00BC2A13">
      <w:pPr>
        <w:numPr>
          <w:ilvl w:val="0"/>
          <w:numId w:val="11"/>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sz w:val="22"/>
          <w:szCs w:val="22"/>
        </w:rPr>
        <w:t>All students will access the Flipgrid assignments through our Blackboard course.</w:t>
      </w:r>
    </w:p>
    <w:p w14:paraId="21B78778" w14:textId="77777777" w:rsidR="00DD74F5" w:rsidRPr="007C17EA" w:rsidRDefault="001A11B3" w:rsidP="007C17EA">
      <w:pPr>
        <w:pBdr>
          <w:top w:val="nil"/>
          <w:left w:val="nil"/>
          <w:bottom w:val="nil"/>
          <w:right w:val="nil"/>
          <w:between w:val="nil"/>
        </w:pBdr>
        <w:spacing w:before="0" w:after="40"/>
        <w:rPr>
          <w:rFonts w:asciiTheme="majorHAnsi" w:hAnsiTheme="majorHAnsi" w:cstheme="majorHAnsi"/>
          <w:color w:val="AB1500"/>
          <w:sz w:val="22"/>
          <w:szCs w:val="22"/>
        </w:rPr>
      </w:pPr>
      <w:r w:rsidRPr="007C17EA">
        <w:rPr>
          <w:rFonts w:asciiTheme="majorHAnsi" w:hAnsiTheme="majorHAnsi" w:cstheme="majorHAnsi"/>
          <w:b/>
          <w:color w:val="AB1500"/>
          <w:sz w:val="22"/>
          <w:szCs w:val="22"/>
        </w:rPr>
        <w:t>VoiceThread-</w:t>
      </w:r>
      <w:r w:rsidRPr="007C17EA">
        <w:rPr>
          <w:rFonts w:asciiTheme="majorHAnsi" w:hAnsiTheme="majorHAnsi" w:cstheme="majorHAnsi"/>
          <w:color w:val="AB1500"/>
          <w:sz w:val="22"/>
          <w:szCs w:val="22"/>
        </w:rPr>
        <w:t xml:space="preserve"> Interactive collaboration and presentation tool</w:t>
      </w:r>
    </w:p>
    <w:p w14:paraId="18D4C0E4" w14:textId="77777777" w:rsidR="00DD74F5" w:rsidRPr="007C17EA" w:rsidRDefault="001A11B3" w:rsidP="00BC2A13">
      <w:pPr>
        <w:numPr>
          <w:ilvl w:val="0"/>
          <w:numId w:val="12"/>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sz w:val="22"/>
          <w:szCs w:val="22"/>
        </w:rPr>
        <w:lastRenderedPageBreak/>
        <w:t xml:space="preserve">A presentation tool that allows users to create a multimedia presentation and discuss asynchronously. </w:t>
      </w:r>
    </w:p>
    <w:p w14:paraId="34F8AA71" w14:textId="77777777" w:rsidR="00DD74F5" w:rsidRPr="007C17EA" w:rsidRDefault="001A11B3" w:rsidP="00BC2A13">
      <w:pPr>
        <w:numPr>
          <w:ilvl w:val="0"/>
          <w:numId w:val="12"/>
        </w:numPr>
        <w:pBdr>
          <w:top w:val="nil"/>
          <w:left w:val="nil"/>
          <w:bottom w:val="nil"/>
          <w:right w:val="nil"/>
          <w:between w:val="nil"/>
        </w:pBdr>
        <w:spacing w:before="0" w:after="40"/>
        <w:rPr>
          <w:rFonts w:asciiTheme="majorHAnsi" w:hAnsiTheme="majorHAnsi" w:cstheme="majorHAnsi"/>
          <w:sz w:val="22"/>
          <w:szCs w:val="22"/>
        </w:rPr>
      </w:pPr>
      <w:r w:rsidRPr="007C17EA">
        <w:rPr>
          <w:rFonts w:asciiTheme="majorHAnsi" w:hAnsiTheme="majorHAnsi" w:cstheme="majorHAnsi"/>
          <w:sz w:val="22"/>
          <w:szCs w:val="22"/>
        </w:rPr>
        <w:t>All students will access the VoiceThread assignments through our Blackboard course.</w:t>
      </w:r>
    </w:p>
    <w:p w14:paraId="42AF930F" w14:textId="77777777" w:rsidR="00DD74F5" w:rsidRPr="007C17EA" w:rsidRDefault="001A11B3">
      <w:pPr>
        <w:pStyle w:val="Heading3"/>
        <w:rPr>
          <w:rFonts w:asciiTheme="majorHAnsi" w:hAnsiTheme="majorHAnsi" w:cstheme="majorHAnsi"/>
          <w:sz w:val="22"/>
          <w:szCs w:val="22"/>
        </w:rPr>
      </w:pPr>
      <w:r w:rsidRPr="007C17EA">
        <w:rPr>
          <w:rFonts w:asciiTheme="majorHAnsi" w:hAnsiTheme="majorHAnsi" w:cstheme="majorHAnsi"/>
          <w:sz w:val="22"/>
          <w:szCs w:val="22"/>
        </w:rPr>
        <w:t>Technology Requirements</w:t>
      </w:r>
    </w:p>
    <w:p w14:paraId="64A97067" w14:textId="77777777" w:rsidR="00DD74F5" w:rsidRPr="007C17EA" w:rsidRDefault="001A11B3" w:rsidP="00827146">
      <w:pPr>
        <w:spacing w:before="0" w:after="0" w:line="240" w:lineRule="auto"/>
        <w:jc w:val="both"/>
        <w:rPr>
          <w:rFonts w:asciiTheme="majorHAnsi" w:hAnsiTheme="majorHAnsi" w:cstheme="majorHAnsi"/>
          <w:color w:val="2F2A26"/>
          <w:sz w:val="22"/>
          <w:szCs w:val="22"/>
          <w:highlight w:val="white"/>
        </w:rPr>
      </w:pPr>
      <w:r w:rsidRPr="007C17EA">
        <w:rPr>
          <w:rFonts w:asciiTheme="majorHAnsi" w:hAnsiTheme="majorHAnsi" w:cstheme="majorHAnsi"/>
          <w:color w:val="2F2A26"/>
          <w:sz w:val="22"/>
          <w:szCs w:val="22"/>
          <w:highlight w:val="white"/>
        </w:rPr>
        <w:t>Before classes begin, students must be certain that the hardware, software, and internet capabilities being utilized for online classes and coursework meet the minimum standards to access Zoom and Blackboard, listed below.</w:t>
      </w:r>
    </w:p>
    <w:p w14:paraId="534A03F9" w14:textId="77777777" w:rsidR="00DD74F5" w:rsidRPr="007C17EA" w:rsidRDefault="00DD74F5">
      <w:pPr>
        <w:spacing w:before="0" w:after="0" w:line="240" w:lineRule="auto"/>
        <w:rPr>
          <w:rFonts w:asciiTheme="majorHAnsi" w:hAnsiTheme="majorHAnsi" w:cstheme="majorHAnsi"/>
          <w:sz w:val="22"/>
          <w:szCs w:val="22"/>
        </w:rPr>
      </w:pPr>
    </w:p>
    <w:tbl>
      <w:tblPr>
        <w:tblStyle w:val="16"/>
        <w:tblW w:w="575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85"/>
        <w:gridCol w:w="3870"/>
      </w:tblGrid>
      <w:tr w:rsidR="00DD74F5" w:rsidRPr="007C17EA" w14:paraId="226176E3" w14:textId="77777777">
        <w:trPr>
          <w:tblHeader/>
          <w:jc w:val="center"/>
        </w:trPr>
        <w:tc>
          <w:tcPr>
            <w:tcW w:w="1885" w:type="dxa"/>
            <w:shd w:val="clear" w:color="auto" w:fill="D9D9D9"/>
          </w:tcPr>
          <w:p w14:paraId="59873827" w14:textId="77777777" w:rsidR="00DD74F5" w:rsidRPr="007C17EA" w:rsidRDefault="001A11B3">
            <w:pPr>
              <w:rPr>
                <w:rFonts w:asciiTheme="majorHAnsi" w:hAnsiTheme="majorHAnsi" w:cstheme="majorHAnsi"/>
                <w:b/>
                <w:color w:val="000000"/>
                <w:sz w:val="22"/>
                <w:szCs w:val="22"/>
              </w:rPr>
            </w:pPr>
            <w:r w:rsidRPr="007C17EA">
              <w:rPr>
                <w:rFonts w:asciiTheme="majorHAnsi" w:hAnsiTheme="majorHAnsi" w:cstheme="majorHAnsi"/>
                <w:b/>
                <w:color w:val="000000"/>
                <w:sz w:val="22"/>
                <w:szCs w:val="22"/>
              </w:rPr>
              <w:t>Technology</w:t>
            </w:r>
          </w:p>
        </w:tc>
        <w:tc>
          <w:tcPr>
            <w:tcW w:w="3870" w:type="dxa"/>
            <w:shd w:val="clear" w:color="auto" w:fill="E7E6E6"/>
          </w:tcPr>
          <w:p w14:paraId="3382220F" w14:textId="77777777" w:rsidR="00DD74F5" w:rsidRPr="007C17EA" w:rsidRDefault="001A11B3">
            <w:pPr>
              <w:rPr>
                <w:rFonts w:asciiTheme="majorHAnsi" w:hAnsiTheme="majorHAnsi" w:cstheme="majorHAnsi"/>
                <w:b/>
                <w:color w:val="000000"/>
                <w:sz w:val="22"/>
                <w:szCs w:val="22"/>
              </w:rPr>
            </w:pPr>
            <w:r w:rsidRPr="007C17EA">
              <w:rPr>
                <w:rFonts w:asciiTheme="majorHAnsi" w:hAnsiTheme="majorHAnsi" w:cstheme="majorHAnsi"/>
                <w:b/>
                <w:color w:val="000000"/>
                <w:sz w:val="22"/>
                <w:szCs w:val="22"/>
              </w:rPr>
              <w:t>Requirement</w:t>
            </w:r>
          </w:p>
        </w:tc>
      </w:tr>
      <w:tr w:rsidR="00DD74F5" w:rsidRPr="007C17EA" w14:paraId="407355C7" w14:textId="77777777">
        <w:trPr>
          <w:jc w:val="center"/>
        </w:trPr>
        <w:tc>
          <w:tcPr>
            <w:tcW w:w="1885" w:type="dxa"/>
            <w:shd w:val="clear" w:color="auto" w:fill="D9D9D9"/>
          </w:tcPr>
          <w:p w14:paraId="101AA95A"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Computer</w:t>
            </w:r>
          </w:p>
        </w:tc>
        <w:tc>
          <w:tcPr>
            <w:tcW w:w="3870" w:type="dxa"/>
            <w:shd w:val="clear" w:color="auto" w:fill="E7E6E6"/>
          </w:tcPr>
          <w:p w14:paraId="69DF8EBA"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Mac or PC made within the last four years</w:t>
            </w:r>
          </w:p>
        </w:tc>
      </w:tr>
      <w:tr w:rsidR="00DD74F5" w:rsidRPr="007C17EA" w14:paraId="265971E3" w14:textId="77777777">
        <w:trPr>
          <w:jc w:val="center"/>
        </w:trPr>
        <w:tc>
          <w:tcPr>
            <w:tcW w:w="1885" w:type="dxa"/>
            <w:shd w:val="clear" w:color="auto" w:fill="D9D9D9"/>
          </w:tcPr>
          <w:p w14:paraId="23AE95D3"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Hardware</w:t>
            </w:r>
          </w:p>
        </w:tc>
        <w:tc>
          <w:tcPr>
            <w:tcW w:w="3870" w:type="dxa"/>
            <w:shd w:val="clear" w:color="auto" w:fill="E7E6E6"/>
          </w:tcPr>
          <w:p w14:paraId="7BB69405"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Webcam with microphone (headset with microphone recommended)</w:t>
            </w:r>
          </w:p>
        </w:tc>
      </w:tr>
      <w:tr w:rsidR="00DD74F5" w:rsidRPr="007C17EA" w14:paraId="61525084" w14:textId="77777777">
        <w:trPr>
          <w:jc w:val="center"/>
        </w:trPr>
        <w:tc>
          <w:tcPr>
            <w:tcW w:w="1885" w:type="dxa"/>
            <w:shd w:val="clear" w:color="auto" w:fill="D9D9D9"/>
          </w:tcPr>
          <w:p w14:paraId="5072E4DC"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Operating System</w:t>
            </w:r>
          </w:p>
        </w:tc>
        <w:tc>
          <w:tcPr>
            <w:tcW w:w="3870" w:type="dxa"/>
            <w:shd w:val="clear" w:color="auto" w:fill="E7E6E6"/>
          </w:tcPr>
          <w:p w14:paraId="62C2AC21"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Windows 7+ or OSX 10.6+</w:t>
            </w:r>
          </w:p>
        </w:tc>
      </w:tr>
      <w:tr w:rsidR="00DD74F5" w:rsidRPr="007C17EA" w14:paraId="27369A43" w14:textId="77777777">
        <w:trPr>
          <w:jc w:val="center"/>
        </w:trPr>
        <w:tc>
          <w:tcPr>
            <w:tcW w:w="1885" w:type="dxa"/>
            <w:shd w:val="clear" w:color="auto" w:fill="D9D9D9"/>
          </w:tcPr>
          <w:p w14:paraId="2DE7D2B0"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Memory</w:t>
            </w:r>
          </w:p>
        </w:tc>
        <w:tc>
          <w:tcPr>
            <w:tcW w:w="3870" w:type="dxa"/>
            <w:shd w:val="clear" w:color="auto" w:fill="E7E6E6"/>
          </w:tcPr>
          <w:p w14:paraId="318A71A5"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4GB+ memory</w:t>
            </w:r>
          </w:p>
        </w:tc>
      </w:tr>
      <w:tr w:rsidR="00DD74F5" w:rsidRPr="007C17EA" w14:paraId="0DC35E05" w14:textId="77777777">
        <w:trPr>
          <w:jc w:val="center"/>
        </w:trPr>
        <w:tc>
          <w:tcPr>
            <w:tcW w:w="1885" w:type="dxa"/>
            <w:shd w:val="clear" w:color="auto" w:fill="D9D9D9"/>
          </w:tcPr>
          <w:p w14:paraId="74C8D594"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Browser</w:t>
            </w:r>
          </w:p>
        </w:tc>
        <w:tc>
          <w:tcPr>
            <w:tcW w:w="3870" w:type="dxa"/>
            <w:shd w:val="clear" w:color="auto" w:fill="E7E6E6"/>
          </w:tcPr>
          <w:p w14:paraId="57B6756B"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Chrome/Firefox (current version of either)</w:t>
            </w:r>
          </w:p>
        </w:tc>
      </w:tr>
      <w:tr w:rsidR="00DD74F5" w:rsidRPr="007C17EA" w14:paraId="7D3E8EBE" w14:textId="77777777">
        <w:trPr>
          <w:jc w:val="center"/>
        </w:trPr>
        <w:tc>
          <w:tcPr>
            <w:tcW w:w="1885" w:type="dxa"/>
            <w:shd w:val="clear" w:color="auto" w:fill="D9D9D9"/>
          </w:tcPr>
          <w:p w14:paraId="1AFA989F"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Internet Speed</w:t>
            </w:r>
          </w:p>
        </w:tc>
        <w:tc>
          <w:tcPr>
            <w:tcW w:w="3870" w:type="dxa"/>
            <w:shd w:val="clear" w:color="auto" w:fill="E7E6E6"/>
          </w:tcPr>
          <w:p w14:paraId="1ABDC516" w14:textId="77777777" w:rsidR="00DD74F5" w:rsidRPr="007C17EA" w:rsidRDefault="001A11B3" w:rsidP="00827146">
            <w:pPr>
              <w:spacing w:before="0" w:after="0"/>
              <w:rPr>
                <w:rFonts w:asciiTheme="majorHAnsi" w:hAnsiTheme="majorHAnsi" w:cstheme="majorHAnsi"/>
                <w:color w:val="000000"/>
                <w:sz w:val="22"/>
                <w:szCs w:val="22"/>
              </w:rPr>
            </w:pPr>
            <w:r w:rsidRPr="007C17EA">
              <w:rPr>
                <w:rFonts w:asciiTheme="majorHAnsi" w:hAnsiTheme="majorHAnsi" w:cstheme="majorHAnsi"/>
                <w:color w:val="000000"/>
                <w:sz w:val="22"/>
                <w:szCs w:val="22"/>
              </w:rPr>
              <w:t>&gt;1.5Mbps+ up/down for internet speed</w:t>
            </w:r>
          </w:p>
        </w:tc>
      </w:tr>
    </w:tbl>
    <w:p w14:paraId="63F7003D" w14:textId="77777777" w:rsidR="00DD74F5" w:rsidRDefault="001A11B3">
      <w:pPr>
        <w:pStyle w:val="Heading3"/>
      </w:pPr>
      <w:r>
        <w:t>Technology Support</w:t>
      </w:r>
    </w:p>
    <w:p w14:paraId="15D10FAF" w14:textId="77777777" w:rsidR="00DD74F5" w:rsidRDefault="00000000" w:rsidP="00827146">
      <w:pPr>
        <w:pBdr>
          <w:top w:val="nil"/>
          <w:left w:val="nil"/>
          <w:bottom w:val="nil"/>
          <w:right w:val="nil"/>
          <w:between w:val="nil"/>
        </w:pBdr>
        <w:spacing w:before="0" w:after="40"/>
        <w:rPr>
          <w:color w:val="000000"/>
        </w:rPr>
      </w:pPr>
      <w:hyperlink r:id="rId27">
        <w:r w:rsidR="001A11B3">
          <w:rPr>
            <w:color w:val="AB1500"/>
            <w:u w:val="single"/>
          </w:rPr>
          <w:t>Blackboard Support</w:t>
        </w:r>
      </w:hyperlink>
    </w:p>
    <w:p w14:paraId="10537927" w14:textId="77777777" w:rsidR="00DD74F5" w:rsidRDefault="001A11B3" w:rsidP="00827146">
      <w:pPr>
        <w:pBdr>
          <w:top w:val="nil"/>
          <w:left w:val="nil"/>
          <w:bottom w:val="nil"/>
          <w:right w:val="nil"/>
          <w:between w:val="nil"/>
        </w:pBdr>
        <w:spacing w:before="0" w:after="40"/>
      </w:pPr>
      <w:r>
        <w:rPr>
          <w:color w:val="000000"/>
        </w:rPr>
        <w:t xml:space="preserve">Students can visit the </w:t>
      </w:r>
      <w:hyperlink r:id="rId28">
        <w:r>
          <w:rPr>
            <w:color w:val="AB1500"/>
            <w:u w:val="single"/>
          </w:rPr>
          <w:t>USC Blackboard Help website</w:t>
        </w:r>
      </w:hyperlink>
      <w:r>
        <w:rPr>
          <w:color w:val="000000"/>
        </w:rPr>
        <w:t xml:space="preserve"> as well as contact </w:t>
      </w:r>
      <w:hyperlink r:id="rId29">
        <w:r>
          <w:rPr>
            <w:color w:val="AB1500"/>
            <w:u w:val="single"/>
          </w:rPr>
          <w:t>Blackboard Support via email</w:t>
        </w:r>
      </w:hyperlink>
      <w:r>
        <w:rPr>
          <w:color w:val="000000"/>
        </w:rPr>
        <w:t xml:space="preserve"> and phone, (213) 740-5555 (</w:t>
      </w:r>
      <w:r>
        <w:rPr>
          <w:i/>
          <w:color w:val="000000"/>
        </w:rPr>
        <w:t>select option 2</w:t>
      </w:r>
      <w:r>
        <w:rPr>
          <w:color w:val="000000"/>
        </w:rPr>
        <w:t>).</w:t>
      </w:r>
    </w:p>
    <w:p w14:paraId="6D5B9911" w14:textId="77777777" w:rsidR="00DD74F5" w:rsidRDefault="00000000" w:rsidP="00827146">
      <w:pPr>
        <w:spacing w:before="0" w:after="40"/>
      </w:pPr>
      <w:hyperlink r:id="rId30">
        <w:r w:rsidR="001A11B3">
          <w:rPr>
            <w:color w:val="AB1500"/>
            <w:u w:val="single"/>
          </w:rPr>
          <w:t>NetID and Zoom</w:t>
        </w:r>
      </w:hyperlink>
    </w:p>
    <w:p w14:paraId="6E0C2173" w14:textId="77777777" w:rsidR="00DD74F5" w:rsidRDefault="001A11B3" w:rsidP="00827146">
      <w:pPr>
        <w:pBdr>
          <w:top w:val="nil"/>
          <w:left w:val="nil"/>
          <w:bottom w:val="nil"/>
          <w:right w:val="nil"/>
          <w:between w:val="nil"/>
        </w:pBdr>
        <w:spacing w:before="0" w:after="40"/>
      </w:pPr>
      <w:r>
        <w:rPr>
          <w:color w:val="000000"/>
        </w:rPr>
        <w:t>Students can contact the USC Customer Support Center at (213) 740-5555 to obtain help with NetID or Zoom.</w:t>
      </w:r>
    </w:p>
    <w:p w14:paraId="626C37C7" w14:textId="77777777" w:rsidR="00DD74F5" w:rsidRDefault="00000000" w:rsidP="00827146">
      <w:pPr>
        <w:spacing w:before="0" w:after="40"/>
      </w:pPr>
      <w:hyperlink r:id="rId31">
        <w:r w:rsidR="001A11B3">
          <w:rPr>
            <w:color w:val="AB1500"/>
            <w:u w:val="single"/>
          </w:rPr>
          <w:t>USC Information Technology Services Student Page</w:t>
        </w:r>
      </w:hyperlink>
    </w:p>
    <w:p w14:paraId="6CA4C8FF" w14:textId="1506FFCC" w:rsidR="00DD74F5" w:rsidRDefault="001A11B3" w:rsidP="00827146">
      <w:pPr>
        <w:pBdr>
          <w:top w:val="nil"/>
          <w:left w:val="nil"/>
          <w:bottom w:val="nil"/>
          <w:right w:val="nil"/>
          <w:between w:val="nil"/>
        </w:pBdr>
        <w:spacing w:before="0" w:after="40"/>
        <w:rPr>
          <w:color w:val="000000"/>
        </w:rPr>
      </w:pPr>
      <w:r>
        <w:rPr>
          <w:color w:val="000000"/>
        </w:rPr>
        <w:t>Includes information about USC Student Computing Resources.</w:t>
      </w:r>
    </w:p>
    <w:p w14:paraId="488FF878" w14:textId="563BF8BF" w:rsidR="00827146" w:rsidRDefault="00827146" w:rsidP="00827146">
      <w:pPr>
        <w:pBdr>
          <w:top w:val="nil"/>
          <w:left w:val="nil"/>
          <w:bottom w:val="nil"/>
          <w:right w:val="nil"/>
          <w:between w:val="nil"/>
        </w:pBdr>
        <w:spacing w:before="0" w:after="40"/>
        <w:rPr>
          <w:color w:val="000000"/>
        </w:rPr>
      </w:pPr>
    </w:p>
    <w:p w14:paraId="55C29978" w14:textId="25866185" w:rsidR="00827146" w:rsidRDefault="00827146" w:rsidP="00827146">
      <w:pPr>
        <w:pBdr>
          <w:top w:val="nil"/>
          <w:left w:val="nil"/>
          <w:bottom w:val="nil"/>
          <w:right w:val="nil"/>
          <w:between w:val="nil"/>
        </w:pBdr>
        <w:spacing w:before="0" w:after="40"/>
        <w:rPr>
          <w:color w:val="000000"/>
        </w:rPr>
      </w:pPr>
    </w:p>
    <w:p w14:paraId="2F57E563" w14:textId="5A07D809" w:rsidR="00827146" w:rsidRDefault="00827146" w:rsidP="00827146">
      <w:pPr>
        <w:pBdr>
          <w:top w:val="nil"/>
          <w:left w:val="nil"/>
          <w:bottom w:val="nil"/>
          <w:right w:val="nil"/>
          <w:between w:val="nil"/>
        </w:pBdr>
        <w:spacing w:before="0" w:after="40"/>
        <w:rPr>
          <w:color w:val="000000"/>
        </w:rPr>
      </w:pPr>
    </w:p>
    <w:p w14:paraId="79F7BFA3" w14:textId="307FBF69" w:rsidR="00827146" w:rsidRDefault="00827146" w:rsidP="00827146">
      <w:pPr>
        <w:pBdr>
          <w:top w:val="nil"/>
          <w:left w:val="nil"/>
          <w:bottom w:val="nil"/>
          <w:right w:val="nil"/>
          <w:between w:val="nil"/>
        </w:pBdr>
        <w:spacing w:before="0" w:after="40"/>
        <w:rPr>
          <w:color w:val="000000"/>
        </w:rPr>
      </w:pPr>
    </w:p>
    <w:p w14:paraId="2FDEE7E7" w14:textId="15734AB5" w:rsidR="00827146" w:rsidRDefault="00827146" w:rsidP="00827146">
      <w:pPr>
        <w:pBdr>
          <w:top w:val="nil"/>
          <w:left w:val="nil"/>
          <w:bottom w:val="nil"/>
          <w:right w:val="nil"/>
          <w:between w:val="nil"/>
        </w:pBdr>
        <w:spacing w:before="0" w:after="40"/>
        <w:rPr>
          <w:color w:val="000000"/>
        </w:rPr>
      </w:pPr>
    </w:p>
    <w:p w14:paraId="0305C7AB" w14:textId="0FC98A4B" w:rsidR="00827146" w:rsidRDefault="00827146" w:rsidP="00827146">
      <w:pPr>
        <w:pBdr>
          <w:top w:val="nil"/>
          <w:left w:val="nil"/>
          <w:bottom w:val="nil"/>
          <w:right w:val="nil"/>
          <w:between w:val="nil"/>
        </w:pBdr>
        <w:spacing w:before="0" w:after="40"/>
        <w:rPr>
          <w:color w:val="000000"/>
        </w:rPr>
      </w:pPr>
    </w:p>
    <w:p w14:paraId="41CB284E" w14:textId="29D606A3" w:rsidR="00827146" w:rsidRDefault="00827146" w:rsidP="00827146">
      <w:pPr>
        <w:pBdr>
          <w:top w:val="nil"/>
          <w:left w:val="nil"/>
          <w:bottom w:val="nil"/>
          <w:right w:val="nil"/>
          <w:between w:val="nil"/>
        </w:pBdr>
        <w:spacing w:before="0" w:after="40"/>
        <w:rPr>
          <w:color w:val="000000"/>
        </w:rPr>
      </w:pPr>
    </w:p>
    <w:p w14:paraId="12C96DF0" w14:textId="548B580B" w:rsidR="00827146" w:rsidRDefault="00827146" w:rsidP="00827146">
      <w:pPr>
        <w:pBdr>
          <w:top w:val="nil"/>
          <w:left w:val="nil"/>
          <w:bottom w:val="nil"/>
          <w:right w:val="nil"/>
          <w:between w:val="nil"/>
        </w:pBdr>
        <w:spacing w:before="0" w:after="40"/>
        <w:rPr>
          <w:color w:val="000000"/>
        </w:rPr>
      </w:pPr>
    </w:p>
    <w:p w14:paraId="00BD7F42" w14:textId="00C7B19D" w:rsidR="00827146" w:rsidRDefault="00827146" w:rsidP="00827146">
      <w:pPr>
        <w:pBdr>
          <w:top w:val="nil"/>
          <w:left w:val="nil"/>
          <w:bottom w:val="nil"/>
          <w:right w:val="nil"/>
          <w:between w:val="nil"/>
        </w:pBdr>
        <w:spacing w:before="0" w:after="40"/>
        <w:rPr>
          <w:color w:val="000000"/>
        </w:rPr>
      </w:pPr>
    </w:p>
    <w:p w14:paraId="07F59514" w14:textId="7364D25A" w:rsidR="00827146" w:rsidRDefault="00827146" w:rsidP="00827146">
      <w:pPr>
        <w:pBdr>
          <w:top w:val="nil"/>
          <w:left w:val="nil"/>
          <w:bottom w:val="nil"/>
          <w:right w:val="nil"/>
          <w:between w:val="nil"/>
        </w:pBdr>
        <w:spacing w:before="0" w:after="40"/>
        <w:rPr>
          <w:color w:val="000000"/>
        </w:rPr>
      </w:pPr>
    </w:p>
    <w:p w14:paraId="7DE6AD17" w14:textId="77777777" w:rsidR="00827146" w:rsidRDefault="00827146" w:rsidP="00827146">
      <w:pPr>
        <w:pBdr>
          <w:top w:val="nil"/>
          <w:left w:val="nil"/>
          <w:bottom w:val="nil"/>
          <w:right w:val="nil"/>
          <w:between w:val="nil"/>
        </w:pBdr>
        <w:spacing w:before="0" w:after="40"/>
        <w:rPr>
          <w:color w:val="000000"/>
        </w:rPr>
      </w:pPr>
    </w:p>
    <w:p w14:paraId="32FCDD58" w14:textId="77777777" w:rsidR="00827146" w:rsidRDefault="00827146" w:rsidP="00827146">
      <w:pPr>
        <w:pStyle w:val="Heading2"/>
      </w:pPr>
      <w:r>
        <w:lastRenderedPageBreak/>
        <w:t>Course Calendar</w:t>
      </w:r>
    </w:p>
    <w:p w14:paraId="29C44C11" w14:textId="77777777" w:rsidR="00827146" w:rsidRPr="00827146" w:rsidRDefault="00827146" w:rsidP="00827146">
      <w:pPr>
        <w:spacing w:before="0" w:after="40" w:line="240" w:lineRule="auto"/>
        <w:rPr>
          <w:rFonts w:asciiTheme="majorHAnsi" w:hAnsiTheme="majorHAnsi" w:cstheme="majorHAnsi"/>
          <w:sz w:val="22"/>
          <w:szCs w:val="22"/>
        </w:rPr>
      </w:pPr>
      <w:r w:rsidRPr="00827146">
        <w:rPr>
          <w:rFonts w:asciiTheme="majorHAnsi" w:hAnsiTheme="majorHAnsi" w:cstheme="majorHAnsi"/>
          <w:sz w:val="22"/>
          <w:szCs w:val="22"/>
        </w:rPr>
        <w:t>Course calendar is subject to change.</w:t>
      </w:r>
    </w:p>
    <w:p w14:paraId="6AA6EC82" w14:textId="77777777" w:rsidR="00827146" w:rsidRPr="00827146" w:rsidRDefault="00827146" w:rsidP="00827146">
      <w:pPr>
        <w:spacing w:before="0" w:after="40" w:line="240" w:lineRule="auto"/>
        <w:rPr>
          <w:rFonts w:asciiTheme="majorHAnsi" w:hAnsiTheme="majorHAnsi" w:cstheme="majorHAnsi"/>
          <w:b/>
          <w:sz w:val="22"/>
          <w:szCs w:val="22"/>
        </w:rPr>
      </w:pPr>
      <w:r w:rsidRPr="00827146">
        <w:rPr>
          <w:rFonts w:asciiTheme="majorHAnsi" w:hAnsiTheme="majorHAnsi" w:cstheme="majorHAnsi"/>
          <w:b/>
          <w:sz w:val="22"/>
          <w:szCs w:val="22"/>
        </w:rPr>
        <w:t>Course Schedule: Weekly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591"/>
        <w:gridCol w:w="4068"/>
      </w:tblGrid>
      <w:tr w:rsidR="00827146" w:rsidRPr="00827146" w14:paraId="18AB1D10" w14:textId="77777777" w:rsidTr="005346BB">
        <w:tc>
          <w:tcPr>
            <w:tcW w:w="1728" w:type="dxa"/>
          </w:tcPr>
          <w:p w14:paraId="20CC2A3E" w14:textId="77777777" w:rsidR="00827146" w:rsidRPr="00827146" w:rsidRDefault="00827146" w:rsidP="005346BB">
            <w:pPr>
              <w:spacing w:before="0" w:after="40" w:line="240" w:lineRule="auto"/>
              <w:rPr>
                <w:rFonts w:asciiTheme="majorHAnsi" w:hAnsiTheme="majorHAnsi" w:cstheme="majorHAnsi"/>
                <w:b/>
                <w:sz w:val="22"/>
                <w:szCs w:val="22"/>
              </w:rPr>
            </w:pPr>
            <w:r w:rsidRPr="00827146">
              <w:rPr>
                <w:rFonts w:asciiTheme="majorHAnsi" w:hAnsiTheme="majorHAnsi" w:cstheme="majorHAnsi"/>
                <w:b/>
                <w:sz w:val="22"/>
                <w:szCs w:val="22"/>
              </w:rPr>
              <w:t>Period</w:t>
            </w:r>
          </w:p>
        </w:tc>
        <w:tc>
          <w:tcPr>
            <w:tcW w:w="3690" w:type="dxa"/>
          </w:tcPr>
          <w:p w14:paraId="537D5F65" w14:textId="77777777" w:rsidR="00827146" w:rsidRPr="00827146" w:rsidRDefault="00827146" w:rsidP="005346BB">
            <w:pPr>
              <w:spacing w:before="0" w:after="40" w:line="240" w:lineRule="auto"/>
              <w:rPr>
                <w:rFonts w:asciiTheme="majorHAnsi" w:hAnsiTheme="majorHAnsi" w:cstheme="majorHAnsi"/>
                <w:b/>
                <w:sz w:val="22"/>
                <w:szCs w:val="22"/>
              </w:rPr>
            </w:pPr>
            <w:r w:rsidRPr="00827146">
              <w:rPr>
                <w:rFonts w:asciiTheme="majorHAnsi" w:hAnsiTheme="majorHAnsi" w:cstheme="majorHAnsi"/>
                <w:b/>
                <w:sz w:val="22"/>
                <w:szCs w:val="22"/>
              </w:rPr>
              <w:t>Topic</w:t>
            </w:r>
          </w:p>
        </w:tc>
        <w:tc>
          <w:tcPr>
            <w:tcW w:w="4158" w:type="dxa"/>
          </w:tcPr>
          <w:p w14:paraId="0BC17B7D" w14:textId="77777777" w:rsidR="00827146" w:rsidRPr="00827146" w:rsidRDefault="00827146" w:rsidP="005346BB">
            <w:pPr>
              <w:spacing w:before="0" w:after="40" w:line="240" w:lineRule="auto"/>
              <w:rPr>
                <w:rFonts w:asciiTheme="majorHAnsi" w:hAnsiTheme="majorHAnsi" w:cstheme="majorHAnsi"/>
                <w:b/>
                <w:sz w:val="22"/>
                <w:szCs w:val="22"/>
              </w:rPr>
            </w:pPr>
            <w:r w:rsidRPr="00827146">
              <w:rPr>
                <w:rFonts w:asciiTheme="majorHAnsi" w:hAnsiTheme="majorHAnsi" w:cstheme="majorHAnsi"/>
                <w:b/>
                <w:sz w:val="22"/>
                <w:szCs w:val="22"/>
              </w:rPr>
              <w:t>Readings and Assignments; Key Deliverables</w:t>
            </w:r>
          </w:p>
        </w:tc>
      </w:tr>
      <w:tr w:rsidR="00827146" w:rsidRPr="00827146" w14:paraId="3899BE39" w14:textId="77777777" w:rsidTr="005346BB">
        <w:tc>
          <w:tcPr>
            <w:tcW w:w="1728" w:type="dxa"/>
          </w:tcPr>
          <w:p w14:paraId="7786C08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01</w:t>
            </w:r>
          </w:p>
          <w:p w14:paraId="07960E5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09-11 January</w:t>
            </w:r>
          </w:p>
          <w:p w14:paraId="22AFB6F5" w14:textId="77777777" w:rsidR="00827146" w:rsidRPr="00827146" w:rsidRDefault="00827146" w:rsidP="005346BB">
            <w:pPr>
              <w:spacing w:before="0" w:after="40" w:line="240" w:lineRule="auto"/>
              <w:rPr>
                <w:rFonts w:asciiTheme="majorHAnsi" w:hAnsiTheme="majorHAnsi" w:cstheme="majorHAnsi"/>
              </w:rPr>
            </w:pPr>
          </w:p>
          <w:p w14:paraId="4A0A88B4"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112B47F8"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Welcome and Introduction. Purpose, format of class. Basics of applied planning. Natural forces of urban growth and decline. Natural distribution of land uses. Overview of city form.</w:t>
            </w:r>
          </w:p>
        </w:tc>
        <w:tc>
          <w:tcPr>
            <w:tcW w:w="4158" w:type="dxa"/>
          </w:tcPr>
          <w:p w14:paraId="4474C21F" w14:textId="77777777" w:rsidR="00827146" w:rsidRPr="00827146" w:rsidRDefault="00827146" w:rsidP="005346BB">
            <w:pPr>
              <w:spacing w:before="0" w:after="40" w:line="240" w:lineRule="auto"/>
              <w:rPr>
                <w:rFonts w:asciiTheme="majorHAnsi" w:hAnsiTheme="majorHAnsi" w:cstheme="majorHAnsi"/>
              </w:rPr>
            </w:pPr>
            <w:proofErr w:type="spellStart"/>
            <w:r w:rsidRPr="00827146">
              <w:rPr>
                <w:rFonts w:asciiTheme="majorHAnsi" w:hAnsiTheme="majorHAnsi" w:cstheme="majorHAnsi"/>
              </w:rPr>
              <w:t>Glaeser</w:t>
            </w:r>
            <w:proofErr w:type="spellEnd"/>
            <w:r w:rsidRPr="00827146">
              <w:rPr>
                <w:rFonts w:asciiTheme="majorHAnsi" w:hAnsiTheme="majorHAnsi" w:cstheme="majorHAnsi"/>
              </w:rPr>
              <w:t xml:space="preserve">, Introduction “Our Urban </w:t>
            </w:r>
            <w:proofErr w:type="gramStart"/>
            <w:r w:rsidRPr="00827146">
              <w:rPr>
                <w:rFonts w:asciiTheme="majorHAnsi" w:hAnsiTheme="majorHAnsi" w:cstheme="majorHAnsi"/>
              </w:rPr>
              <w:t>Species“ pages</w:t>
            </w:r>
            <w:proofErr w:type="gramEnd"/>
            <w:r w:rsidRPr="00827146">
              <w:rPr>
                <w:rFonts w:asciiTheme="majorHAnsi" w:hAnsiTheme="majorHAnsi" w:cstheme="majorHAnsi"/>
              </w:rPr>
              <w:t xml:space="preserve"> 1 to 15, Chapter 2, “Why Do Cities Decline“ pages 41 to 67 </w:t>
            </w:r>
          </w:p>
          <w:p w14:paraId="4E47EE9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 xml:space="preserve">McHarg, “Nature in the </w:t>
            </w:r>
            <w:proofErr w:type="gramStart"/>
            <w:r w:rsidRPr="00827146">
              <w:rPr>
                <w:rFonts w:asciiTheme="majorHAnsi" w:hAnsiTheme="majorHAnsi" w:cstheme="majorHAnsi"/>
              </w:rPr>
              <w:t>Metropolis“ pages</w:t>
            </w:r>
            <w:proofErr w:type="gramEnd"/>
            <w:r w:rsidRPr="00827146">
              <w:rPr>
                <w:rFonts w:asciiTheme="majorHAnsi" w:hAnsiTheme="majorHAnsi" w:cstheme="majorHAnsi"/>
              </w:rPr>
              <w:t xml:space="preserve"> 55 to 65</w:t>
            </w:r>
          </w:p>
        </w:tc>
      </w:tr>
      <w:tr w:rsidR="00827146" w:rsidRPr="00827146" w14:paraId="334786F0" w14:textId="77777777" w:rsidTr="005346BB">
        <w:tc>
          <w:tcPr>
            <w:tcW w:w="1728" w:type="dxa"/>
          </w:tcPr>
          <w:p w14:paraId="7D236B97"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02</w:t>
            </w:r>
          </w:p>
          <w:p w14:paraId="52E38CB8"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18 January</w:t>
            </w:r>
          </w:p>
          <w:p w14:paraId="7E9A5B43"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02AC132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Analytical methods and evaluating development potential. Strengths, weaknesses, opportunities and threats/constraints assessment. Market analysis and trade areas. Supply chains, competitive and complementary uses. Development potential.  Site valuation.</w:t>
            </w:r>
          </w:p>
          <w:p w14:paraId="1E686650" w14:textId="77777777" w:rsidR="00827146" w:rsidRPr="00827146" w:rsidRDefault="00827146" w:rsidP="005346BB">
            <w:pPr>
              <w:spacing w:before="0" w:after="40" w:line="240" w:lineRule="auto"/>
              <w:rPr>
                <w:rFonts w:asciiTheme="majorHAnsi" w:hAnsiTheme="majorHAnsi" w:cstheme="majorHAnsi"/>
              </w:rPr>
            </w:pPr>
          </w:p>
        </w:tc>
        <w:tc>
          <w:tcPr>
            <w:tcW w:w="4158" w:type="dxa"/>
          </w:tcPr>
          <w:p w14:paraId="2629D10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Blakely, Chapter 5 “The Local Economic Development Planning Process” pages 113 to 135</w:t>
            </w:r>
          </w:p>
          <w:p w14:paraId="2D459CD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Blakely, Chapter 12 “Detailed Feasibility Analysis” pages 371 to 381</w:t>
            </w:r>
          </w:p>
          <w:p w14:paraId="629FAC84"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Porter, “The Competitive Advantage of the Inner City” pages 55 to 71</w:t>
            </w:r>
          </w:p>
          <w:p w14:paraId="22AA22D1"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 class Data Exercise</w:t>
            </w:r>
          </w:p>
          <w:p w14:paraId="74065DC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 class Field Reconnaissance Exercise</w:t>
            </w:r>
          </w:p>
        </w:tc>
      </w:tr>
      <w:tr w:rsidR="00827146" w:rsidRPr="00827146" w14:paraId="678D8AF2" w14:textId="77777777" w:rsidTr="005346BB">
        <w:tc>
          <w:tcPr>
            <w:tcW w:w="1728" w:type="dxa"/>
          </w:tcPr>
          <w:p w14:paraId="5A10662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03</w:t>
            </w:r>
          </w:p>
          <w:p w14:paraId="422BAC27"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23-25 January</w:t>
            </w:r>
          </w:p>
        </w:tc>
        <w:tc>
          <w:tcPr>
            <w:tcW w:w="3690" w:type="dxa"/>
          </w:tcPr>
          <w:p w14:paraId="207820A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Land use and zoning.  General, community and specific plans, building codes and other regulations. How regulations can facilitate or inhibit development.</w:t>
            </w:r>
          </w:p>
          <w:p w14:paraId="3B8A2B6B"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Participants in the planning and development process: stakeholders.</w:t>
            </w:r>
          </w:p>
          <w:p w14:paraId="3EB085E8"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Infrastructure.  Site development issues.  Constraints of built form.</w:t>
            </w:r>
          </w:p>
        </w:tc>
        <w:tc>
          <w:tcPr>
            <w:tcW w:w="4158" w:type="dxa"/>
          </w:tcPr>
          <w:p w14:paraId="150DED8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Benner and Pastor, Chapter 1 Pages 1 to 9, Chapter 6 Pages 185 to 186</w:t>
            </w:r>
          </w:p>
          <w:p w14:paraId="525EECA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Southeast Los Angeles Community Plan and South Los Angeles Community plan, skim document to see organization and structure of such plans</w:t>
            </w:r>
          </w:p>
          <w:p w14:paraId="1EA97F83"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b/>
              </w:rPr>
              <w:t>Formation of teams</w:t>
            </w:r>
            <w:r w:rsidRPr="00827146">
              <w:rPr>
                <w:rFonts w:asciiTheme="majorHAnsi" w:hAnsiTheme="majorHAnsi" w:cstheme="majorHAnsi"/>
              </w:rPr>
              <w:t xml:space="preserve">.  </w:t>
            </w:r>
          </w:p>
        </w:tc>
      </w:tr>
      <w:tr w:rsidR="00827146" w:rsidRPr="00827146" w14:paraId="33ACD42B" w14:textId="77777777" w:rsidTr="005346BB">
        <w:tc>
          <w:tcPr>
            <w:tcW w:w="1728" w:type="dxa"/>
          </w:tcPr>
          <w:p w14:paraId="3C18554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04</w:t>
            </w:r>
          </w:p>
          <w:p w14:paraId="0C8B9BA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30 January-01 February</w:t>
            </w:r>
          </w:p>
          <w:p w14:paraId="62DFCF07"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3F162C90" w14:textId="4135DA0C"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Housing and housing finance; affordable and market rate housing production. Public housing. Housing and homelessness. Gentrification. Role of housing in economic development.</w:t>
            </w:r>
          </w:p>
        </w:tc>
        <w:tc>
          <w:tcPr>
            <w:tcW w:w="4158" w:type="dxa"/>
          </w:tcPr>
          <w:p w14:paraId="50B8752A"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Jackson, Chapter 12 “The Cost of Good Intentions: The Ghettoization of Public Housing in the United States” pages 219 to 230 (skim)</w:t>
            </w:r>
          </w:p>
          <w:p w14:paraId="4F73B8D4"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Prevention Institute, Healthy Development without Displacement Pages 9 to 21</w:t>
            </w:r>
          </w:p>
          <w:p w14:paraId="25867E6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Articles: Denser Housing near Transit, Single Family Zoning (2 articles), Legacy of Red-Lining</w:t>
            </w:r>
          </w:p>
        </w:tc>
      </w:tr>
      <w:tr w:rsidR="00827146" w:rsidRPr="00827146" w14:paraId="243BDD82" w14:textId="77777777" w:rsidTr="005346BB">
        <w:tc>
          <w:tcPr>
            <w:tcW w:w="1728" w:type="dxa"/>
          </w:tcPr>
          <w:p w14:paraId="085454C9"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05</w:t>
            </w:r>
          </w:p>
          <w:p w14:paraId="26454A5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06-08 February</w:t>
            </w:r>
          </w:p>
          <w:p w14:paraId="4B426CC2"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4E53374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Transportation and open space. Transportation and circulation plans. Street classifications, dimensions and dedications and their effect on urban design and mobility. Mass transit, bicycle and pedestrian plans and considerations. Walkability, safe streets, complete streets.</w:t>
            </w:r>
          </w:p>
          <w:p w14:paraId="697D633B"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Physical impacts of transportation facilities. Parking requirements and Implications for development.</w:t>
            </w:r>
          </w:p>
        </w:tc>
        <w:tc>
          <w:tcPr>
            <w:tcW w:w="4158" w:type="dxa"/>
          </w:tcPr>
          <w:p w14:paraId="0A54BB9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Mobility Plan Chapter 1 pages 59 to 70, Chapter 2 pages 75 to 94, Chapter 3 pages 99 to 110</w:t>
            </w:r>
          </w:p>
          <w:p w14:paraId="6FADF5B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PLAN LA pages 87 to 97</w:t>
            </w:r>
          </w:p>
          <w:p w14:paraId="7FB9119F"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Trust for Public Land Park Value Report (skim)</w:t>
            </w:r>
          </w:p>
          <w:p w14:paraId="79E6095A"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Walkability Checklist</w:t>
            </w:r>
          </w:p>
          <w:p w14:paraId="1C853733" w14:textId="77777777" w:rsidR="00827146" w:rsidRDefault="00827146" w:rsidP="005346BB">
            <w:pPr>
              <w:spacing w:before="0" w:after="40" w:line="240" w:lineRule="auto"/>
              <w:rPr>
                <w:rFonts w:asciiTheme="majorHAnsi" w:hAnsiTheme="majorHAnsi" w:cstheme="majorHAnsi"/>
                <w:b/>
                <w:bCs/>
              </w:rPr>
            </w:pPr>
            <w:r w:rsidRPr="00827146">
              <w:rPr>
                <w:rFonts w:asciiTheme="majorHAnsi" w:hAnsiTheme="majorHAnsi" w:cstheme="majorHAnsi"/>
                <w:b/>
                <w:bCs/>
              </w:rPr>
              <w:t>Identification of selected geographies—submit map or other descriptor of area selected and reason(s) for selection (1</w:t>
            </w:r>
            <w:r>
              <w:rPr>
                <w:rFonts w:asciiTheme="majorHAnsi" w:hAnsiTheme="majorHAnsi" w:cstheme="majorHAnsi"/>
                <w:b/>
                <w:bCs/>
              </w:rPr>
              <w:t>-</w:t>
            </w:r>
            <w:r w:rsidRPr="00827146">
              <w:rPr>
                <w:rFonts w:asciiTheme="majorHAnsi" w:hAnsiTheme="majorHAnsi" w:cstheme="majorHAnsi"/>
                <w:b/>
                <w:bCs/>
              </w:rPr>
              <w:t>page map or diagram and statement).</w:t>
            </w:r>
          </w:p>
          <w:p w14:paraId="3D5B030B" w14:textId="77777777" w:rsidR="00827146" w:rsidRDefault="00827146" w:rsidP="005346BB">
            <w:pPr>
              <w:spacing w:before="0" w:after="40" w:line="240" w:lineRule="auto"/>
              <w:rPr>
                <w:rFonts w:asciiTheme="majorHAnsi" w:hAnsiTheme="majorHAnsi" w:cstheme="majorHAnsi"/>
                <w:b/>
                <w:bCs/>
              </w:rPr>
            </w:pPr>
          </w:p>
          <w:p w14:paraId="0901C6FF" w14:textId="3DA350AE" w:rsidR="00827146" w:rsidRPr="00827146" w:rsidRDefault="00827146" w:rsidP="005346BB">
            <w:pPr>
              <w:spacing w:before="0" w:after="40" w:line="240" w:lineRule="auto"/>
              <w:rPr>
                <w:rFonts w:asciiTheme="majorHAnsi" w:hAnsiTheme="majorHAnsi" w:cstheme="majorHAnsi"/>
                <w:b/>
                <w:bCs/>
              </w:rPr>
            </w:pPr>
          </w:p>
        </w:tc>
      </w:tr>
      <w:tr w:rsidR="00827146" w:rsidRPr="00827146" w14:paraId="5DE520E7" w14:textId="77777777" w:rsidTr="005346BB">
        <w:tc>
          <w:tcPr>
            <w:tcW w:w="1728" w:type="dxa"/>
          </w:tcPr>
          <w:p w14:paraId="27AD98E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lastRenderedPageBreak/>
              <w:t>Week 06</w:t>
            </w:r>
          </w:p>
          <w:p w14:paraId="49CF6CC5"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13-15 February</w:t>
            </w:r>
          </w:p>
          <w:p w14:paraId="358CAAC4" w14:textId="77777777" w:rsidR="00827146" w:rsidRPr="00827146" w:rsidRDefault="00827146" w:rsidP="005346BB">
            <w:pPr>
              <w:spacing w:before="0" w:after="40" w:line="240" w:lineRule="auto"/>
              <w:rPr>
                <w:rFonts w:asciiTheme="majorHAnsi" w:hAnsiTheme="majorHAnsi" w:cstheme="majorHAnsi"/>
              </w:rPr>
            </w:pPr>
          </w:p>
          <w:p w14:paraId="707FFBF0"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78F1251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Mixed use development and place-making. Transit Oriented Development. Transit Oriented Communities.  Cultural tourism.</w:t>
            </w:r>
          </w:p>
        </w:tc>
        <w:tc>
          <w:tcPr>
            <w:tcW w:w="4158" w:type="dxa"/>
          </w:tcPr>
          <w:p w14:paraId="5629BE59" w14:textId="77777777" w:rsidR="00827146" w:rsidRPr="00827146" w:rsidRDefault="00827146" w:rsidP="005346BB">
            <w:pPr>
              <w:spacing w:before="0" w:after="40" w:line="240" w:lineRule="auto"/>
              <w:rPr>
                <w:rFonts w:asciiTheme="majorHAnsi" w:hAnsiTheme="majorHAnsi" w:cstheme="majorHAnsi"/>
              </w:rPr>
            </w:pPr>
            <w:proofErr w:type="spellStart"/>
            <w:r w:rsidRPr="00827146">
              <w:rPr>
                <w:rFonts w:asciiTheme="majorHAnsi" w:hAnsiTheme="majorHAnsi" w:cstheme="majorHAnsi"/>
              </w:rPr>
              <w:t>Gehrke</w:t>
            </w:r>
            <w:proofErr w:type="spellEnd"/>
            <w:r w:rsidRPr="00827146">
              <w:rPr>
                <w:rFonts w:asciiTheme="majorHAnsi" w:hAnsiTheme="majorHAnsi" w:cstheme="majorHAnsi"/>
              </w:rPr>
              <w:t xml:space="preserve"> et al Creating Successful Transit Oriented Districts in Los Angeles, Chapter 2 “Defining Successful Transit Oriented Districts in Los Angeles” pages 16 to 22 (skim rest of report)</w:t>
            </w:r>
          </w:p>
          <w:p w14:paraId="1A783D11"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Blakely, Chapter 11 “Targeting and Marketing Neighborhood/Community Assets” Pages 346 to 349</w:t>
            </w:r>
          </w:p>
          <w:p w14:paraId="11CB7BC3"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Transit Oriented Communities Development Guidelines</w:t>
            </w:r>
          </w:p>
          <w:p w14:paraId="46579F5D"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Florida The Great Reset Chapter 3 "Urbanism as Innovation" pages 18 to 24</w:t>
            </w:r>
          </w:p>
          <w:p w14:paraId="2A897D1E" w14:textId="77777777" w:rsidR="00827146" w:rsidRPr="00827146" w:rsidRDefault="00827146" w:rsidP="005346BB">
            <w:pPr>
              <w:spacing w:before="0" w:after="40" w:line="240" w:lineRule="auto"/>
              <w:rPr>
                <w:rFonts w:asciiTheme="majorHAnsi" w:hAnsiTheme="majorHAnsi" w:cstheme="majorHAnsi"/>
              </w:rPr>
            </w:pPr>
            <w:proofErr w:type="spellStart"/>
            <w:r w:rsidRPr="00827146">
              <w:rPr>
                <w:rFonts w:asciiTheme="majorHAnsi" w:hAnsiTheme="majorHAnsi" w:cstheme="majorHAnsi"/>
              </w:rPr>
              <w:t>Loukaitou</w:t>
            </w:r>
            <w:proofErr w:type="spellEnd"/>
            <w:r w:rsidRPr="00827146">
              <w:rPr>
                <w:rFonts w:asciiTheme="majorHAnsi" w:hAnsiTheme="majorHAnsi" w:cstheme="majorHAnsi"/>
              </w:rPr>
              <w:t>-Sideris, “Cultural Tourism as an Economic Development Strategy for Ethnic Neighborhoods”</w:t>
            </w:r>
          </w:p>
          <w:p w14:paraId="7791A29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 class open space-placemaking exercise</w:t>
            </w:r>
          </w:p>
          <w:p w14:paraId="2916772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b/>
                <w:bCs/>
              </w:rPr>
              <w:t>Submittal of initial socio-demographic description of selected geography (data tables and paragraph written summary of conclusions)</w:t>
            </w:r>
            <w:r w:rsidRPr="00827146">
              <w:rPr>
                <w:rFonts w:asciiTheme="majorHAnsi" w:hAnsiTheme="majorHAnsi" w:cstheme="majorHAnsi"/>
              </w:rPr>
              <w:t>.</w:t>
            </w:r>
          </w:p>
        </w:tc>
      </w:tr>
      <w:tr w:rsidR="00827146" w:rsidRPr="00827146" w14:paraId="5FE67FA2" w14:textId="77777777" w:rsidTr="005346BB">
        <w:tc>
          <w:tcPr>
            <w:tcW w:w="1728" w:type="dxa"/>
          </w:tcPr>
          <w:p w14:paraId="3A2C17AF"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07</w:t>
            </w:r>
          </w:p>
          <w:p w14:paraId="48955F47"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22 February</w:t>
            </w:r>
          </w:p>
        </w:tc>
        <w:tc>
          <w:tcPr>
            <w:tcW w:w="3690" w:type="dxa"/>
          </w:tcPr>
          <w:p w14:paraId="2575044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Sustainability and resilience.  Health aspects of planning. Environmental analysis. Environmental Justice.</w:t>
            </w:r>
          </w:p>
          <w:p w14:paraId="1532F23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Project meetings regarding study area and determination of issues to be addressed in team vision plans.</w:t>
            </w:r>
          </w:p>
        </w:tc>
        <w:tc>
          <w:tcPr>
            <w:tcW w:w="4158" w:type="dxa"/>
          </w:tcPr>
          <w:p w14:paraId="5E81EAB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Plan for a Healthy Los Angeles pages 7 to 19 and 27 to 28, Chapter 2 pages 30 to 45; other Chapters as relevant to individual area of concentration</w:t>
            </w:r>
          </w:p>
          <w:p w14:paraId="391628B3"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PLAN LA pages 76 to 86</w:t>
            </w:r>
          </w:p>
          <w:p w14:paraId="22243A0A" w14:textId="77777777" w:rsid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Health Impact Assessment Toolkit Chapter 1 pages 7-16 and 19, Chapter 2 pages 21 to 30, Chapter 3 pages 37 to 38, Chapter 5 pages 49 to 72</w:t>
            </w:r>
          </w:p>
          <w:p w14:paraId="62D35165" w14:textId="77777777" w:rsidR="00827146" w:rsidRPr="00827146" w:rsidRDefault="00827146" w:rsidP="005346BB">
            <w:pPr>
              <w:spacing w:before="0" w:after="40" w:line="240" w:lineRule="auto"/>
              <w:rPr>
                <w:rFonts w:asciiTheme="majorHAnsi" w:hAnsiTheme="majorHAnsi" w:cstheme="majorHAnsi"/>
              </w:rPr>
            </w:pPr>
          </w:p>
        </w:tc>
      </w:tr>
      <w:tr w:rsidR="00827146" w:rsidRPr="00827146" w14:paraId="0B72A150" w14:textId="77777777" w:rsidTr="005346BB">
        <w:tc>
          <w:tcPr>
            <w:tcW w:w="1728" w:type="dxa"/>
          </w:tcPr>
          <w:p w14:paraId="28BB51E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08</w:t>
            </w:r>
          </w:p>
          <w:p w14:paraId="3542D667"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27 February-01 March</w:t>
            </w:r>
          </w:p>
        </w:tc>
        <w:tc>
          <w:tcPr>
            <w:tcW w:w="3690" w:type="dxa"/>
          </w:tcPr>
          <w:p w14:paraId="6027F71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Project meetings. Working sessions to prepare for mid-term presentations.</w:t>
            </w:r>
          </w:p>
        </w:tc>
        <w:tc>
          <w:tcPr>
            <w:tcW w:w="4158" w:type="dxa"/>
          </w:tcPr>
          <w:p w14:paraId="783E5C94"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b/>
              </w:rPr>
              <w:t>DRAFT VERSIONS OF MID-TERM PRESENTATIONS FOR IN-CLASS REVIEW WITH TEAMS (individual review with each team)</w:t>
            </w:r>
          </w:p>
        </w:tc>
      </w:tr>
      <w:tr w:rsidR="00827146" w:rsidRPr="00827146" w14:paraId="00DE7E95" w14:textId="77777777" w:rsidTr="005346BB">
        <w:tc>
          <w:tcPr>
            <w:tcW w:w="1728" w:type="dxa"/>
          </w:tcPr>
          <w:p w14:paraId="47A3442B"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09</w:t>
            </w:r>
          </w:p>
          <w:p w14:paraId="5D7AF1BF"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06-08 March</w:t>
            </w:r>
          </w:p>
          <w:p w14:paraId="50991B34" w14:textId="77777777" w:rsidR="00827146" w:rsidRPr="00827146" w:rsidRDefault="00827146" w:rsidP="005346BB">
            <w:pPr>
              <w:spacing w:before="0" w:after="40" w:line="240" w:lineRule="auto"/>
              <w:rPr>
                <w:rFonts w:asciiTheme="majorHAnsi" w:hAnsiTheme="majorHAnsi" w:cstheme="majorHAnsi"/>
              </w:rPr>
            </w:pPr>
          </w:p>
          <w:p w14:paraId="1CB58C89"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7BDD13CC" w14:textId="57ACDF55"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b/>
                <w:bCs/>
              </w:rPr>
              <w:t>Mid-term presentations</w:t>
            </w:r>
            <w:r w:rsidRPr="00827146">
              <w:rPr>
                <w:rFonts w:asciiTheme="majorHAnsi" w:hAnsiTheme="majorHAnsi" w:cstheme="majorHAnsi"/>
              </w:rPr>
              <w:t>. Area identification, socio-demographic and economic analysis</w:t>
            </w:r>
            <w:r w:rsidR="00E172DE">
              <w:rPr>
                <w:rFonts w:asciiTheme="majorHAnsi" w:hAnsiTheme="majorHAnsi" w:cstheme="majorHAnsi"/>
              </w:rPr>
              <w:t xml:space="preserve">; strengths, weaknesses, </w:t>
            </w:r>
            <w:proofErr w:type="gramStart"/>
            <w:r w:rsidR="00E172DE">
              <w:rPr>
                <w:rFonts w:asciiTheme="majorHAnsi" w:hAnsiTheme="majorHAnsi" w:cstheme="majorHAnsi"/>
              </w:rPr>
              <w:t>opportunity</w:t>
            </w:r>
            <w:proofErr w:type="gramEnd"/>
            <w:r w:rsidR="00E172DE">
              <w:rPr>
                <w:rFonts w:asciiTheme="majorHAnsi" w:hAnsiTheme="majorHAnsi" w:cstheme="majorHAnsi"/>
              </w:rPr>
              <w:t xml:space="preserve"> and constraints (SWOT) findings; </w:t>
            </w:r>
            <w:r w:rsidRPr="00827146">
              <w:rPr>
                <w:rFonts w:asciiTheme="majorHAnsi" w:hAnsiTheme="majorHAnsi" w:cstheme="majorHAnsi"/>
              </w:rPr>
              <w:t>key issues</w:t>
            </w:r>
            <w:r w:rsidR="00E172DE">
              <w:rPr>
                <w:rFonts w:asciiTheme="majorHAnsi" w:hAnsiTheme="majorHAnsi" w:cstheme="majorHAnsi"/>
              </w:rPr>
              <w:t>;</w:t>
            </w:r>
            <w:r w:rsidRPr="00827146">
              <w:rPr>
                <w:rFonts w:asciiTheme="majorHAnsi" w:hAnsiTheme="majorHAnsi" w:cstheme="majorHAnsi"/>
              </w:rPr>
              <w:t xml:space="preserve"> vision</w:t>
            </w:r>
            <w:r w:rsidR="00E172DE">
              <w:rPr>
                <w:rFonts w:asciiTheme="majorHAnsi" w:hAnsiTheme="majorHAnsi" w:cstheme="majorHAnsi"/>
              </w:rPr>
              <w:t>;</w:t>
            </w:r>
            <w:r w:rsidRPr="00827146">
              <w:rPr>
                <w:rFonts w:asciiTheme="majorHAnsi" w:hAnsiTheme="majorHAnsi" w:cstheme="majorHAnsi"/>
              </w:rPr>
              <w:t xml:space="preserve"> concept. Initial identification of site-specific development proposals.</w:t>
            </w:r>
          </w:p>
        </w:tc>
        <w:tc>
          <w:tcPr>
            <w:tcW w:w="4158" w:type="dxa"/>
          </w:tcPr>
          <w:p w14:paraId="6B4D6381" w14:textId="4D0A8FFE"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b/>
              </w:rPr>
              <w:t>10-MINUTE IN CLASS TEAM POWER POINT PRESENTATIONS COVERING AREA IDENTIFICATION, SOCIO-DEMOGRAPHIC AND ECONOMIC ANALYSIS, SWOT FINDINGS, KEY ISSUES, VISION, CONCEPT</w:t>
            </w:r>
            <w:r w:rsidR="00E172DE">
              <w:rPr>
                <w:rFonts w:asciiTheme="majorHAnsi" w:hAnsiTheme="majorHAnsi" w:cstheme="majorHAnsi"/>
                <w:b/>
              </w:rPr>
              <w:t xml:space="preserve">; INITIAL IDENTIFICATION OF </w:t>
            </w:r>
            <w:proofErr w:type="gramStart"/>
            <w:r w:rsidR="00E172DE">
              <w:rPr>
                <w:rFonts w:asciiTheme="majorHAnsi" w:hAnsiTheme="majorHAnsi" w:cstheme="majorHAnsi"/>
                <w:b/>
              </w:rPr>
              <w:t>SITE SPECIFIC</w:t>
            </w:r>
            <w:proofErr w:type="gramEnd"/>
            <w:r w:rsidR="00E172DE">
              <w:rPr>
                <w:rFonts w:asciiTheme="majorHAnsi" w:hAnsiTheme="majorHAnsi" w:cstheme="majorHAnsi"/>
                <w:b/>
              </w:rPr>
              <w:t xml:space="preserve"> DEVELOPMENT PROPOSALS</w:t>
            </w:r>
          </w:p>
          <w:p w14:paraId="12EF495F"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b/>
              </w:rPr>
              <w:t>INDIVIDUAL SUBMITTAL (1-PAGE) TOPIC DESCRIPTION FOR INDIVIDUAL PAPER OR PROJECT</w:t>
            </w:r>
          </w:p>
        </w:tc>
      </w:tr>
      <w:tr w:rsidR="00827146" w:rsidRPr="00827146" w14:paraId="41F1A04E" w14:textId="77777777" w:rsidTr="005346BB">
        <w:tc>
          <w:tcPr>
            <w:tcW w:w="1728" w:type="dxa"/>
          </w:tcPr>
          <w:p w14:paraId="72AACF07"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10</w:t>
            </w:r>
          </w:p>
          <w:p w14:paraId="1DD52287"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13-15 March</w:t>
            </w:r>
          </w:p>
        </w:tc>
        <w:tc>
          <w:tcPr>
            <w:tcW w:w="3690" w:type="dxa"/>
          </w:tcPr>
          <w:p w14:paraId="32CBEC56" w14:textId="77777777" w:rsid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Spring Break</w:t>
            </w:r>
          </w:p>
          <w:p w14:paraId="45D06ED5" w14:textId="77777777" w:rsidR="00827146" w:rsidRDefault="00827146" w:rsidP="005346BB">
            <w:pPr>
              <w:spacing w:before="0" w:after="40" w:line="240" w:lineRule="auto"/>
              <w:rPr>
                <w:rFonts w:asciiTheme="majorHAnsi" w:hAnsiTheme="majorHAnsi" w:cstheme="majorHAnsi"/>
              </w:rPr>
            </w:pPr>
          </w:p>
          <w:p w14:paraId="618D5ADF" w14:textId="77777777" w:rsidR="00827146" w:rsidRDefault="00827146" w:rsidP="005346BB">
            <w:pPr>
              <w:spacing w:before="0" w:after="40" w:line="240" w:lineRule="auto"/>
              <w:rPr>
                <w:rFonts w:asciiTheme="majorHAnsi" w:hAnsiTheme="majorHAnsi" w:cstheme="majorHAnsi"/>
              </w:rPr>
            </w:pPr>
          </w:p>
          <w:p w14:paraId="7353B16C" w14:textId="77777777" w:rsidR="00827146" w:rsidRDefault="00827146" w:rsidP="005346BB">
            <w:pPr>
              <w:spacing w:before="0" w:after="40" w:line="240" w:lineRule="auto"/>
              <w:rPr>
                <w:rFonts w:asciiTheme="majorHAnsi" w:hAnsiTheme="majorHAnsi" w:cstheme="majorHAnsi"/>
              </w:rPr>
            </w:pPr>
          </w:p>
          <w:p w14:paraId="2FEC3CD0" w14:textId="77777777" w:rsidR="00827146" w:rsidRDefault="00827146" w:rsidP="005346BB">
            <w:pPr>
              <w:spacing w:before="0" w:after="40" w:line="240" w:lineRule="auto"/>
              <w:rPr>
                <w:rFonts w:asciiTheme="majorHAnsi" w:hAnsiTheme="majorHAnsi" w:cstheme="majorHAnsi"/>
              </w:rPr>
            </w:pPr>
          </w:p>
          <w:p w14:paraId="149A521D" w14:textId="14E5B66E" w:rsidR="00827146" w:rsidRPr="00827146" w:rsidRDefault="00827146" w:rsidP="005346BB">
            <w:pPr>
              <w:spacing w:before="0" w:after="40" w:line="240" w:lineRule="auto"/>
              <w:rPr>
                <w:rFonts w:asciiTheme="majorHAnsi" w:hAnsiTheme="majorHAnsi" w:cstheme="majorHAnsi"/>
              </w:rPr>
            </w:pPr>
          </w:p>
        </w:tc>
        <w:tc>
          <w:tcPr>
            <w:tcW w:w="4158" w:type="dxa"/>
          </w:tcPr>
          <w:p w14:paraId="7F4CD76E" w14:textId="77777777" w:rsidR="00827146" w:rsidRPr="00827146" w:rsidRDefault="00827146" w:rsidP="005346BB">
            <w:pPr>
              <w:spacing w:before="0" w:after="40" w:line="240" w:lineRule="auto"/>
              <w:rPr>
                <w:rFonts w:asciiTheme="majorHAnsi" w:hAnsiTheme="majorHAnsi" w:cstheme="majorHAnsi"/>
              </w:rPr>
            </w:pPr>
          </w:p>
        </w:tc>
      </w:tr>
      <w:tr w:rsidR="00827146" w:rsidRPr="00827146" w14:paraId="6547E619" w14:textId="77777777" w:rsidTr="005346BB">
        <w:tc>
          <w:tcPr>
            <w:tcW w:w="1728" w:type="dxa"/>
          </w:tcPr>
          <w:p w14:paraId="6D9FA839"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lastRenderedPageBreak/>
              <w:t>Week 11</w:t>
            </w:r>
          </w:p>
          <w:p w14:paraId="2105956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20-22 March</w:t>
            </w:r>
          </w:p>
          <w:p w14:paraId="6E40A20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 xml:space="preserve"> </w:t>
            </w:r>
          </w:p>
        </w:tc>
        <w:tc>
          <w:tcPr>
            <w:tcW w:w="3690" w:type="dxa"/>
          </w:tcPr>
          <w:p w14:paraId="40959135"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Role and consideration of public sector. Public sector as regulator and facilitator.</w:t>
            </w:r>
          </w:p>
          <w:p w14:paraId="44F078F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 xml:space="preserve">Project implementation. The entitlement </w:t>
            </w:r>
            <w:proofErr w:type="gramStart"/>
            <w:r w:rsidRPr="00827146">
              <w:rPr>
                <w:rFonts w:asciiTheme="majorHAnsi" w:hAnsiTheme="majorHAnsi" w:cstheme="majorHAnsi"/>
              </w:rPr>
              <w:t>process</w:t>
            </w:r>
            <w:proofErr w:type="gramEnd"/>
            <w:r w:rsidRPr="00827146">
              <w:rPr>
                <w:rFonts w:asciiTheme="majorHAnsi" w:hAnsiTheme="majorHAnsi" w:cstheme="majorHAnsi"/>
              </w:rPr>
              <w:t>.</w:t>
            </w:r>
          </w:p>
          <w:p w14:paraId="585E80D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Public-private partnerships. Value added/value capture. Community benefits and Community Benefits Agreements.</w:t>
            </w:r>
          </w:p>
        </w:tc>
        <w:tc>
          <w:tcPr>
            <w:tcW w:w="4158" w:type="dxa"/>
          </w:tcPr>
          <w:p w14:paraId="3C818668"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Fulton, Chapter 14 “Economic Development”</w:t>
            </w:r>
          </w:p>
          <w:p w14:paraId="500E168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Sloane, “Community Benefits, Negotiations and (In)</w:t>
            </w:r>
            <w:proofErr w:type="gramStart"/>
            <w:r w:rsidRPr="00827146">
              <w:rPr>
                <w:rFonts w:asciiTheme="majorHAnsi" w:hAnsiTheme="majorHAnsi" w:cstheme="majorHAnsi"/>
              </w:rPr>
              <w:t>Justice“ (</w:t>
            </w:r>
            <w:proofErr w:type="gramEnd"/>
            <w:r w:rsidRPr="00827146">
              <w:rPr>
                <w:rFonts w:asciiTheme="majorHAnsi" w:hAnsiTheme="majorHAnsi" w:cstheme="majorHAnsi"/>
              </w:rPr>
              <w:t>Gilda Haas) pages 272 to 278</w:t>
            </w:r>
          </w:p>
          <w:p w14:paraId="47821AB8"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 class Environmental Exercise</w:t>
            </w:r>
          </w:p>
        </w:tc>
      </w:tr>
      <w:tr w:rsidR="00827146" w:rsidRPr="00827146" w14:paraId="18AA25EF" w14:textId="77777777" w:rsidTr="005346BB">
        <w:tc>
          <w:tcPr>
            <w:tcW w:w="1728" w:type="dxa"/>
          </w:tcPr>
          <w:p w14:paraId="1253447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12</w:t>
            </w:r>
          </w:p>
          <w:p w14:paraId="1F758A74"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27-29 March</w:t>
            </w:r>
          </w:p>
          <w:p w14:paraId="7B4D5117"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602CCE19"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 xml:space="preserve">Strategic Interventions. Catalytic projects and changing the trajectory of a place. </w:t>
            </w:r>
          </w:p>
          <w:p w14:paraId="31EB80E8"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Project meetings.  Update to vision/concept plan based on mid-term feedback.  Status of individual development projects.</w:t>
            </w:r>
          </w:p>
        </w:tc>
        <w:tc>
          <w:tcPr>
            <w:tcW w:w="4158" w:type="dxa"/>
          </w:tcPr>
          <w:p w14:paraId="32BD065F"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VERBAL REVIEW OF VISION/CONCEPT PLAN AND NEXT STEPS; ONE-ON-ONE DISCUSSIONS OF INDIVIDUAL PROJECTS</w:t>
            </w:r>
          </w:p>
        </w:tc>
      </w:tr>
      <w:tr w:rsidR="00827146" w:rsidRPr="00827146" w14:paraId="73D61652" w14:textId="77777777" w:rsidTr="005346BB">
        <w:tc>
          <w:tcPr>
            <w:tcW w:w="1728" w:type="dxa"/>
          </w:tcPr>
          <w:p w14:paraId="527DF6DF"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13</w:t>
            </w:r>
          </w:p>
          <w:p w14:paraId="4574B9E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03-05 April</w:t>
            </w:r>
          </w:p>
          <w:p w14:paraId="2A0DAF09"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6A00C25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Project meetings. Update to vision/concept plan.  Status of individual development projects.</w:t>
            </w:r>
          </w:p>
        </w:tc>
        <w:tc>
          <w:tcPr>
            <w:tcW w:w="4158" w:type="dxa"/>
          </w:tcPr>
          <w:p w14:paraId="3A2D385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 CLASS TEAM WORKING SESSIONS</w:t>
            </w:r>
          </w:p>
        </w:tc>
      </w:tr>
      <w:tr w:rsidR="00827146" w:rsidRPr="00827146" w14:paraId="1EF255D9" w14:textId="77777777" w:rsidTr="005346BB">
        <w:tc>
          <w:tcPr>
            <w:tcW w:w="1728" w:type="dxa"/>
          </w:tcPr>
          <w:p w14:paraId="77235001"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14</w:t>
            </w:r>
          </w:p>
          <w:p w14:paraId="20C13F4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10-12 April</w:t>
            </w:r>
          </w:p>
        </w:tc>
        <w:tc>
          <w:tcPr>
            <w:tcW w:w="3690" w:type="dxa"/>
          </w:tcPr>
          <w:p w14:paraId="30A49B6C"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rPr>
              <w:t>Project meetings. Update to vision/concept plan.  Status of individual development projects.</w:t>
            </w:r>
          </w:p>
        </w:tc>
        <w:tc>
          <w:tcPr>
            <w:tcW w:w="4158" w:type="dxa"/>
          </w:tcPr>
          <w:p w14:paraId="35EB4CE9"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IN CLASS TEAM WORKING SESSIONS</w:t>
            </w:r>
          </w:p>
        </w:tc>
      </w:tr>
      <w:tr w:rsidR="00827146" w:rsidRPr="00827146" w14:paraId="6A293B16" w14:textId="77777777" w:rsidTr="005346BB">
        <w:tc>
          <w:tcPr>
            <w:tcW w:w="1728" w:type="dxa"/>
          </w:tcPr>
          <w:p w14:paraId="51D41915"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15</w:t>
            </w:r>
          </w:p>
          <w:p w14:paraId="50D31DC2"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17-19 April</w:t>
            </w:r>
          </w:p>
        </w:tc>
        <w:tc>
          <w:tcPr>
            <w:tcW w:w="3690" w:type="dxa"/>
          </w:tcPr>
          <w:p w14:paraId="4E29813B"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rPr>
              <w:t>Project meetings. Update to vision/concept plan.  Status of individual development projects.</w:t>
            </w:r>
          </w:p>
        </w:tc>
        <w:tc>
          <w:tcPr>
            <w:tcW w:w="4158" w:type="dxa"/>
          </w:tcPr>
          <w:p w14:paraId="294F8189"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rPr>
              <w:t>VERBAL REVIEW OF VISION/CONCEPT PLAN AND NEXT STEPS; “DRY RUN” OF FINAL PRESENTATIONS; ONE-ON-ONE DISCUSSIONS OF INDIVIDUAL PROJECTS TO BE SCHEDULED DURING THIS WEEK</w:t>
            </w:r>
          </w:p>
        </w:tc>
      </w:tr>
      <w:tr w:rsidR="00827146" w:rsidRPr="00827146" w14:paraId="4AF59E4C" w14:textId="77777777" w:rsidTr="005346BB">
        <w:tc>
          <w:tcPr>
            <w:tcW w:w="1728" w:type="dxa"/>
          </w:tcPr>
          <w:p w14:paraId="4ACC9E6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16</w:t>
            </w:r>
          </w:p>
          <w:p w14:paraId="26E6708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24-26 April</w:t>
            </w:r>
          </w:p>
          <w:p w14:paraId="71769B1D" w14:textId="77777777" w:rsidR="00827146" w:rsidRPr="00827146" w:rsidRDefault="00827146" w:rsidP="005346BB">
            <w:pPr>
              <w:spacing w:before="0" w:after="40" w:line="240" w:lineRule="auto"/>
              <w:rPr>
                <w:rFonts w:asciiTheme="majorHAnsi" w:hAnsiTheme="majorHAnsi" w:cstheme="majorHAnsi"/>
              </w:rPr>
            </w:pPr>
          </w:p>
        </w:tc>
        <w:tc>
          <w:tcPr>
            <w:tcW w:w="3690" w:type="dxa"/>
          </w:tcPr>
          <w:p w14:paraId="6E29A5B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b/>
              </w:rPr>
              <w:t>Final presentations</w:t>
            </w:r>
            <w:r w:rsidRPr="00827146">
              <w:rPr>
                <w:rFonts w:asciiTheme="majorHAnsi" w:hAnsiTheme="majorHAnsi" w:cstheme="majorHAnsi"/>
              </w:rPr>
              <w:t>.</w:t>
            </w:r>
          </w:p>
        </w:tc>
        <w:tc>
          <w:tcPr>
            <w:tcW w:w="4158" w:type="dxa"/>
          </w:tcPr>
          <w:p w14:paraId="4EC732D3"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b/>
              </w:rPr>
              <w:t>FINAL 15-MINUTE IN CLASS TEAM POWER POINT PRESENTATIONS: AREA IDENTIFICATION, SUMMARY OF MID-TERM ANALYSIS, KEY ISSUES, VISION, PLAN AND COURSE OF ACTION, IMPLEMENTATION RECOMMENDATIONS.</w:t>
            </w:r>
          </w:p>
        </w:tc>
      </w:tr>
      <w:tr w:rsidR="00827146" w:rsidRPr="00827146" w14:paraId="3F5D48E5" w14:textId="77777777" w:rsidTr="005346BB">
        <w:tc>
          <w:tcPr>
            <w:tcW w:w="1728" w:type="dxa"/>
          </w:tcPr>
          <w:p w14:paraId="4BC694B0"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17</w:t>
            </w:r>
          </w:p>
          <w:p w14:paraId="1C42FDEE"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of 29 April</w:t>
            </w:r>
          </w:p>
        </w:tc>
        <w:tc>
          <w:tcPr>
            <w:tcW w:w="3690" w:type="dxa"/>
          </w:tcPr>
          <w:p w14:paraId="51144CB5"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Study Days</w:t>
            </w:r>
          </w:p>
        </w:tc>
        <w:tc>
          <w:tcPr>
            <w:tcW w:w="4158" w:type="dxa"/>
          </w:tcPr>
          <w:p w14:paraId="12CF8CE8" w14:textId="77777777" w:rsidR="00827146" w:rsidRPr="00827146" w:rsidRDefault="00827146" w:rsidP="005346BB">
            <w:pPr>
              <w:spacing w:before="0" w:after="40" w:line="240" w:lineRule="auto"/>
              <w:rPr>
                <w:rFonts w:asciiTheme="majorHAnsi" w:hAnsiTheme="majorHAnsi" w:cstheme="majorHAnsi"/>
                <w:b/>
              </w:rPr>
            </w:pPr>
          </w:p>
        </w:tc>
      </w:tr>
      <w:tr w:rsidR="00827146" w:rsidRPr="00827146" w14:paraId="305EC194" w14:textId="77777777" w:rsidTr="005346BB">
        <w:tc>
          <w:tcPr>
            <w:tcW w:w="1728" w:type="dxa"/>
          </w:tcPr>
          <w:p w14:paraId="78C23DE6"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Week 18</w:t>
            </w:r>
          </w:p>
        </w:tc>
        <w:tc>
          <w:tcPr>
            <w:tcW w:w="3690" w:type="dxa"/>
          </w:tcPr>
          <w:p w14:paraId="4ECD900C" w14:textId="77777777" w:rsidR="00827146" w:rsidRPr="00827146" w:rsidRDefault="00827146" w:rsidP="005346BB">
            <w:pPr>
              <w:spacing w:before="0" w:after="40" w:line="240" w:lineRule="auto"/>
              <w:rPr>
                <w:rFonts w:asciiTheme="majorHAnsi" w:hAnsiTheme="majorHAnsi" w:cstheme="majorHAnsi"/>
              </w:rPr>
            </w:pPr>
            <w:r w:rsidRPr="00827146">
              <w:rPr>
                <w:rFonts w:asciiTheme="majorHAnsi" w:hAnsiTheme="majorHAnsi" w:cstheme="majorHAnsi"/>
              </w:rPr>
              <w:t>FINAL EXAMINATION</w:t>
            </w:r>
          </w:p>
        </w:tc>
        <w:tc>
          <w:tcPr>
            <w:tcW w:w="4158" w:type="dxa"/>
          </w:tcPr>
          <w:p w14:paraId="3F1C00FD" w14:textId="77777777" w:rsidR="00827146" w:rsidRPr="00827146" w:rsidRDefault="00827146" w:rsidP="005346BB">
            <w:pPr>
              <w:spacing w:before="0" w:after="40" w:line="240" w:lineRule="auto"/>
              <w:rPr>
                <w:rFonts w:asciiTheme="majorHAnsi" w:hAnsiTheme="majorHAnsi" w:cstheme="majorHAnsi"/>
                <w:b/>
              </w:rPr>
            </w:pPr>
            <w:r w:rsidRPr="00827146">
              <w:rPr>
                <w:rFonts w:asciiTheme="majorHAnsi" w:hAnsiTheme="majorHAnsi" w:cstheme="majorHAnsi"/>
                <w:b/>
              </w:rPr>
              <w:t>Monday 08 May 11.00am – 1.00pm</w:t>
            </w:r>
          </w:p>
        </w:tc>
      </w:tr>
    </w:tbl>
    <w:p w14:paraId="3E35122C" w14:textId="77777777" w:rsidR="00827146" w:rsidRPr="009C6B03" w:rsidRDefault="00827146" w:rsidP="00827146">
      <w:pPr>
        <w:pStyle w:val="NormalWeb"/>
        <w:spacing w:before="0" w:beforeAutospacing="0" w:after="120" w:afterAutospacing="0"/>
        <w:jc w:val="both"/>
        <w:rPr>
          <w:rFonts w:asciiTheme="minorHAnsi" w:hAnsiTheme="minorHAnsi" w:cstheme="minorHAnsi"/>
          <w:b/>
          <w:bCs/>
          <w:sz w:val="20"/>
          <w:szCs w:val="20"/>
        </w:rPr>
      </w:pPr>
    </w:p>
    <w:p w14:paraId="7C0DA842" w14:textId="15B3191C" w:rsidR="00827146" w:rsidRDefault="00827146" w:rsidP="00827146">
      <w:pPr>
        <w:pBdr>
          <w:top w:val="nil"/>
          <w:left w:val="nil"/>
          <w:bottom w:val="nil"/>
          <w:right w:val="nil"/>
          <w:between w:val="nil"/>
        </w:pBdr>
        <w:spacing w:before="0" w:after="40"/>
      </w:pPr>
    </w:p>
    <w:p w14:paraId="12D7019E" w14:textId="5D65D7F3" w:rsidR="00827146" w:rsidRDefault="00827146" w:rsidP="00827146">
      <w:pPr>
        <w:pBdr>
          <w:top w:val="nil"/>
          <w:left w:val="nil"/>
          <w:bottom w:val="nil"/>
          <w:right w:val="nil"/>
          <w:between w:val="nil"/>
        </w:pBdr>
        <w:spacing w:before="0" w:after="40"/>
      </w:pPr>
    </w:p>
    <w:p w14:paraId="271A5F0B" w14:textId="39BCF3B3" w:rsidR="00827146" w:rsidRDefault="00827146" w:rsidP="00827146">
      <w:pPr>
        <w:pBdr>
          <w:top w:val="nil"/>
          <w:left w:val="nil"/>
          <w:bottom w:val="nil"/>
          <w:right w:val="nil"/>
          <w:between w:val="nil"/>
        </w:pBdr>
        <w:spacing w:before="0" w:after="40"/>
      </w:pPr>
    </w:p>
    <w:p w14:paraId="20DDF78A" w14:textId="7E6E36FB" w:rsidR="00827146" w:rsidRDefault="00827146" w:rsidP="00827146">
      <w:pPr>
        <w:pBdr>
          <w:top w:val="nil"/>
          <w:left w:val="nil"/>
          <w:bottom w:val="nil"/>
          <w:right w:val="nil"/>
          <w:between w:val="nil"/>
        </w:pBdr>
        <w:spacing w:before="0" w:after="40"/>
      </w:pPr>
    </w:p>
    <w:p w14:paraId="654030D2" w14:textId="6A9DC905" w:rsidR="00827146" w:rsidRDefault="00827146" w:rsidP="00827146">
      <w:pPr>
        <w:pBdr>
          <w:top w:val="nil"/>
          <w:left w:val="nil"/>
          <w:bottom w:val="nil"/>
          <w:right w:val="nil"/>
          <w:between w:val="nil"/>
        </w:pBdr>
        <w:spacing w:before="0" w:after="40"/>
      </w:pPr>
    </w:p>
    <w:p w14:paraId="4235B1C3" w14:textId="20F163BA" w:rsidR="00827146" w:rsidRDefault="00827146" w:rsidP="00827146">
      <w:pPr>
        <w:pBdr>
          <w:top w:val="nil"/>
          <w:left w:val="nil"/>
          <w:bottom w:val="nil"/>
          <w:right w:val="nil"/>
          <w:between w:val="nil"/>
        </w:pBdr>
        <w:spacing w:before="0" w:after="40"/>
      </w:pPr>
    </w:p>
    <w:p w14:paraId="678BA0E6" w14:textId="72A87896" w:rsidR="00827146" w:rsidRDefault="00827146" w:rsidP="00827146">
      <w:pPr>
        <w:pBdr>
          <w:top w:val="nil"/>
          <w:left w:val="nil"/>
          <w:bottom w:val="nil"/>
          <w:right w:val="nil"/>
          <w:between w:val="nil"/>
        </w:pBdr>
        <w:spacing w:before="0" w:after="40"/>
      </w:pPr>
    </w:p>
    <w:p w14:paraId="4426F4F3" w14:textId="258FDBD4" w:rsidR="00827146" w:rsidRDefault="00827146" w:rsidP="00827146">
      <w:pPr>
        <w:pBdr>
          <w:top w:val="nil"/>
          <w:left w:val="nil"/>
          <w:bottom w:val="nil"/>
          <w:right w:val="nil"/>
          <w:between w:val="nil"/>
        </w:pBdr>
        <w:spacing w:before="0" w:after="40"/>
      </w:pPr>
    </w:p>
    <w:p w14:paraId="1AF12DC8" w14:textId="31761C5C" w:rsidR="00827146" w:rsidRDefault="00827146" w:rsidP="00827146">
      <w:pPr>
        <w:pBdr>
          <w:top w:val="nil"/>
          <w:left w:val="nil"/>
          <w:bottom w:val="nil"/>
          <w:right w:val="nil"/>
          <w:between w:val="nil"/>
        </w:pBdr>
        <w:spacing w:before="0" w:after="40"/>
      </w:pPr>
    </w:p>
    <w:p w14:paraId="1B2AD2EF" w14:textId="54EAE8AC" w:rsidR="00827146" w:rsidRDefault="00827146" w:rsidP="00827146">
      <w:pPr>
        <w:pBdr>
          <w:top w:val="nil"/>
          <w:left w:val="nil"/>
          <w:bottom w:val="nil"/>
          <w:right w:val="nil"/>
          <w:between w:val="nil"/>
        </w:pBdr>
        <w:spacing w:before="0" w:after="40"/>
      </w:pPr>
    </w:p>
    <w:p w14:paraId="52ED041F" w14:textId="77777777" w:rsidR="00827146" w:rsidRDefault="00827146" w:rsidP="00827146">
      <w:pPr>
        <w:pBdr>
          <w:top w:val="nil"/>
          <w:left w:val="nil"/>
          <w:bottom w:val="nil"/>
          <w:right w:val="nil"/>
          <w:between w:val="nil"/>
        </w:pBdr>
        <w:spacing w:before="0" w:after="40"/>
      </w:pPr>
    </w:p>
    <w:p w14:paraId="08BFDA92" w14:textId="77777777" w:rsidR="00DD74F5" w:rsidRDefault="001A11B3">
      <w:pPr>
        <w:pStyle w:val="Heading2"/>
      </w:pPr>
      <w:r>
        <w:lastRenderedPageBreak/>
        <w:t>ACADEMIC POLICIES AND STUDENT CONDUCT CODE</w:t>
      </w:r>
    </w:p>
    <w:p w14:paraId="4330D74D" w14:textId="77777777" w:rsidR="00DD74F5" w:rsidRDefault="001A11B3">
      <w:pPr>
        <w:pStyle w:val="Heading3"/>
      </w:pPr>
      <w:r>
        <w:t>Academic Conduct</w:t>
      </w:r>
    </w:p>
    <w:p w14:paraId="43C06AA8" w14:textId="77777777" w:rsidR="00DD74F5" w:rsidRDefault="001A11B3">
      <w:pPr>
        <w:pBdr>
          <w:top w:val="nil"/>
          <w:left w:val="nil"/>
          <w:bottom w:val="nil"/>
          <w:right w:val="nil"/>
          <w:between w:val="nil"/>
        </w:pBdr>
        <w:spacing w:after="0" w:line="240" w:lineRule="auto"/>
        <w:rPr>
          <w:color w:val="000000"/>
        </w:rPr>
      </w:pPr>
      <w:r>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color w:val="000000"/>
        </w:rPr>
        <w:t>SCampus</w:t>
      </w:r>
      <w:proofErr w:type="spellEnd"/>
      <w:r>
        <w:rPr>
          <w:color w:val="000000"/>
        </w:rPr>
        <w:t xml:space="preserve"> in Part B, Section 11, “Behavior Violating University Standards”</w:t>
      </w:r>
      <w:r>
        <w:rPr>
          <w:color w:val="0070C0"/>
          <w:u w:val="single"/>
        </w:rPr>
        <w:t xml:space="preserve"> </w:t>
      </w:r>
      <w:hyperlink r:id="rId32">
        <w:r>
          <w:rPr>
            <w:color w:val="AB1500"/>
            <w:u w:val="single"/>
          </w:rPr>
          <w:t>policy.usc.edu/</w:t>
        </w:r>
        <w:proofErr w:type="spellStart"/>
        <w:r>
          <w:rPr>
            <w:color w:val="AB1500"/>
            <w:u w:val="single"/>
          </w:rPr>
          <w:t>scampus</w:t>
        </w:r>
        <w:proofErr w:type="spellEnd"/>
        <w:r>
          <w:rPr>
            <w:color w:val="AB1500"/>
            <w:u w:val="single"/>
          </w:rPr>
          <w:t>-part-b</w:t>
        </w:r>
      </w:hyperlink>
      <w:r>
        <w:rPr>
          <w:color w:val="000000"/>
        </w:rPr>
        <w:t xml:space="preserve">. Other forms of academic dishonesty are equally unacceptable. See additional information in </w:t>
      </w:r>
      <w:proofErr w:type="spellStart"/>
      <w:r>
        <w:rPr>
          <w:color w:val="000000"/>
        </w:rPr>
        <w:t>SCampus</w:t>
      </w:r>
      <w:proofErr w:type="spellEnd"/>
      <w:r>
        <w:rPr>
          <w:color w:val="000000"/>
        </w:rPr>
        <w:t xml:space="preserve"> and university policies on </w:t>
      </w:r>
      <w:hyperlink r:id="rId33">
        <w:r>
          <w:rPr>
            <w:color w:val="AB1500"/>
            <w:u w:val="single"/>
          </w:rPr>
          <w:t>Research and Scholarship Misconduct</w:t>
        </w:r>
      </w:hyperlink>
      <w:r>
        <w:rPr>
          <w:color w:val="000000"/>
        </w:rPr>
        <w:t>.</w:t>
      </w:r>
    </w:p>
    <w:p w14:paraId="47C88606" w14:textId="77777777" w:rsidR="00DD74F5" w:rsidRDefault="001A11B3">
      <w:pPr>
        <w:pStyle w:val="Heading3"/>
      </w:pPr>
      <w:r>
        <w:t>Copyright</w:t>
      </w:r>
    </w:p>
    <w:p w14:paraId="72CA6998" w14:textId="77777777" w:rsidR="00DD74F5" w:rsidRDefault="001A11B3">
      <w:pPr>
        <w:spacing w:before="0" w:after="0" w:line="240" w:lineRule="auto"/>
        <w:rPr>
          <w:color w:val="11100F"/>
          <w:highlight w:val="white"/>
        </w:rPr>
      </w:pPr>
      <w:r>
        <w:t xml:space="preserve">The uploading to other websites or distribution of class materials outside the learning environment is explicitly prohibited per university policy </w:t>
      </w:r>
      <w:hyperlink r:id="rId34">
        <w:r>
          <w:rPr>
            <w:color w:val="C00000"/>
            <w:highlight w:val="white"/>
            <w:u w:val="single"/>
          </w:rPr>
          <w:t>(</w:t>
        </w:r>
        <w:proofErr w:type="spellStart"/>
        <w:r>
          <w:rPr>
            <w:color w:val="C00000"/>
            <w:highlight w:val="white"/>
            <w:u w:val="single"/>
          </w:rPr>
          <w:t>SCampus</w:t>
        </w:r>
        <w:proofErr w:type="spellEnd"/>
        <w:r>
          <w:rPr>
            <w:color w:val="C00000"/>
            <w:highlight w:val="white"/>
            <w:u w:val="single"/>
          </w:rPr>
          <w:t xml:space="preserve"> Part B § 11)</w:t>
        </w:r>
      </w:hyperlink>
      <w:r>
        <w:rPr>
          <w:rFonts w:ascii="-webkit-standard" w:eastAsia="-webkit-standard" w:hAnsi="-webkit-standard" w:cs="-webkit-standard"/>
          <w:color w:val="11100F"/>
          <w:highlight w:val="white"/>
        </w:rPr>
        <w:t>. </w:t>
      </w:r>
    </w:p>
    <w:p w14:paraId="5A41EF1E" w14:textId="77777777" w:rsidR="00DD74F5" w:rsidRDefault="00DD74F5">
      <w:pPr>
        <w:spacing w:before="0" w:after="0" w:line="240" w:lineRule="auto"/>
        <w:rPr>
          <w:color w:val="11100F"/>
          <w:highlight w:val="white"/>
        </w:rPr>
      </w:pPr>
    </w:p>
    <w:p w14:paraId="2E7F3854" w14:textId="77777777" w:rsidR="00DD74F5" w:rsidRDefault="001A11B3">
      <w:pPr>
        <w:spacing w:before="0" w:after="0" w:line="240" w:lineRule="auto"/>
      </w:pPr>
      <w:r>
        <w:rPr>
          <w:color w:val="11100F"/>
          <w:highlight w:val="white"/>
        </w:rPr>
        <w:t>“</w:t>
      </w:r>
      <w: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w:t>
      </w:r>
    </w:p>
    <w:p w14:paraId="61A0AD9B" w14:textId="77777777" w:rsidR="00DD74F5" w:rsidRDefault="001A11B3">
      <w:pPr>
        <w:pStyle w:val="Heading3"/>
      </w:pPr>
      <w:r>
        <w:t>Student Conduct Code</w:t>
      </w:r>
    </w:p>
    <w:p w14:paraId="6C30EAE6" w14:textId="77777777" w:rsidR="00DD74F5" w:rsidRDefault="001A11B3">
      <w:r>
        <w:t xml:space="preserve">Please review the </w:t>
      </w:r>
      <w:hyperlink r:id="rId35">
        <w:r>
          <w:rPr>
            <w:color w:val="AB1500"/>
            <w:u w:val="single"/>
          </w:rPr>
          <w:t>Student Conduct Code</w:t>
        </w:r>
      </w:hyperlink>
      <w:r>
        <w:t xml:space="preserve"> for more information about expectations for student behavior and academic integrity.</w:t>
      </w:r>
    </w:p>
    <w:p w14:paraId="2BB0605C" w14:textId="77777777" w:rsidR="00DD74F5" w:rsidRDefault="001A11B3">
      <w:pPr>
        <w:pStyle w:val="Heading3"/>
      </w:pPr>
      <w:r>
        <w:t xml:space="preserve">Students and Disability Accommodations: </w:t>
      </w:r>
    </w:p>
    <w:p w14:paraId="286D64FE" w14:textId="77777777" w:rsidR="00DD74F5" w:rsidRDefault="001A11B3">
      <w:pPr>
        <w:pBdr>
          <w:top w:val="nil"/>
          <w:left w:val="nil"/>
          <w:bottom w:val="nil"/>
          <w:right w:val="nil"/>
          <w:between w:val="nil"/>
        </w:pBdr>
        <w:spacing w:after="0" w:line="240" w:lineRule="auto"/>
        <w:rPr>
          <w:color w:val="000000"/>
        </w:rPr>
      </w:pPr>
      <w:r>
        <w:rPr>
          <w:color w:val="00000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36">
        <w:r>
          <w:rPr>
            <w:color w:val="AB1500"/>
            <w:u w:val="single"/>
          </w:rPr>
          <w:t>osas.usc.edu</w:t>
        </w:r>
      </w:hyperlink>
      <w:r>
        <w:rPr>
          <w:color w:val="000000"/>
        </w:rPr>
        <w:t xml:space="preserve">. You may contact OSAS at (213) 740-0776 or via email at </w:t>
      </w:r>
      <w:hyperlink r:id="rId37">
        <w:r>
          <w:rPr>
            <w:color w:val="AB1500"/>
            <w:u w:val="single"/>
          </w:rPr>
          <w:t>osasfrontdesk@usc.edu</w:t>
        </w:r>
      </w:hyperlink>
      <w:r>
        <w:rPr>
          <w:color w:val="000000"/>
        </w:rPr>
        <w:t>.</w:t>
      </w:r>
    </w:p>
    <w:p w14:paraId="07C82743" w14:textId="77777777" w:rsidR="00DD74F5" w:rsidRDefault="001A11B3">
      <w:pPr>
        <w:pStyle w:val="Heading3"/>
      </w:pPr>
      <w:r>
        <w:t>USC Policies on Accessibility for Online Courses</w:t>
      </w:r>
    </w:p>
    <w:p w14:paraId="2496F7A7" w14:textId="77777777" w:rsidR="00DD74F5" w:rsidRDefault="001A11B3">
      <w:pPr>
        <w:pBdr>
          <w:top w:val="nil"/>
          <w:left w:val="nil"/>
          <w:bottom w:val="nil"/>
          <w:right w:val="nil"/>
          <w:between w:val="nil"/>
        </w:pBdr>
        <w:spacing w:after="0" w:line="240" w:lineRule="auto"/>
        <w:rPr>
          <w:color w:val="000000"/>
        </w:rPr>
      </w:pPr>
      <w:r>
        <w:rPr>
          <w:color w:val="000000"/>
        </w:rPr>
        <w:t>The University of Southern California is dedicated to maintaining an environment that ensures that all students with documented disabilities, including deafness, ADHD, dyslexia, visual impairments, learning disorders, physical/chronic health conditions and other disabilities, have equal access to its educational programs, activities and facilities. This policy covers all students at USC and in distance learning programs. The accommodations are designed to level the playing field for students with disabilities, while maintaining the integrity and standards of USC’s academic programs.</w:t>
      </w:r>
    </w:p>
    <w:p w14:paraId="4EA791FE" w14:textId="77777777" w:rsidR="00DD74F5" w:rsidRDefault="001A11B3">
      <w:pPr>
        <w:pBdr>
          <w:top w:val="nil"/>
          <w:left w:val="nil"/>
          <w:bottom w:val="nil"/>
          <w:right w:val="nil"/>
          <w:between w:val="nil"/>
        </w:pBdr>
        <w:spacing w:after="0" w:line="240" w:lineRule="auto"/>
        <w:rPr>
          <w:color w:val="000000"/>
        </w:rPr>
      </w:pPr>
      <w:r>
        <w:rPr>
          <w:color w:val="000000"/>
        </w:rPr>
        <w:t xml:space="preserve">Accommodations are determined on a case-by-case basis. Examples of typical accommodations include assistance in providing note-takers, sign language interpreters, real-time </w:t>
      </w:r>
      <w:proofErr w:type="spellStart"/>
      <w:r>
        <w:rPr>
          <w:color w:val="000000"/>
        </w:rPr>
        <w:t>captionists</w:t>
      </w:r>
      <w:proofErr w:type="spellEnd"/>
      <w:r>
        <w:rPr>
          <w:color w:val="000000"/>
        </w:rPr>
        <w:t>, readers, scribes, advocacy with faculty, accommodated exam proctoring, alternative text formats, adaptive technology, referrals to community resources, support groups and other support services for individual needs unique to a student’s disability.</w:t>
      </w:r>
    </w:p>
    <w:p w14:paraId="0D988C54" w14:textId="30586123" w:rsidR="00DD74F5" w:rsidRDefault="001A11B3">
      <w:pPr>
        <w:pBdr>
          <w:top w:val="nil"/>
          <w:left w:val="nil"/>
          <w:bottom w:val="nil"/>
          <w:right w:val="nil"/>
          <w:between w:val="nil"/>
        </w:pBdr>
        <w:spacing w:after="0" w:line="240" w:lineRule="auto"/>
        <w:rPr>
          <w:color w:val="000000"/>
        </w:rPr>
      </w:pPr>
      <w:r>
        <w:rPr>
          <w:color w:val="000000"/>
        </w:rPr>
        <w:lastRenderedPageBreak/>
        <w:t xml:space="preserve">Therefore, any student requesting academic accommodations based on a disability is required to register with the </w:t>
      </w:r>
      <w:hyperlink r:id="rId38">
        <w:r>
          <w:rPr>
            <w:color w:val="AB1500"/>
            <w:u w:val="single"/>
          </w:rPr>
          <w:t>Office of Student Accessibility Services (OSAS</w:t>
        </w:r>
      </w:hyperlink>
      <w:r>
        <w:rPr>
          <w:color w:val="000000"/>
        </w:rPr>
        <w:t>) each semester. OSAS will review all complete files with documentation; however, please know that additional follow-up steps may be necessary prior to final accommodation decisions. Once a decision has been made, access your approved accommodations from the </w:t>
      </w:r>
      <w:proofErr w:type="spellStart"/>
      <w:r>
        <w:fldChar w:fldCharType="begin"/>
      </w:r>
      <w:r>
        <w:instrText xml:space="preserve"> HYPERLINK "https://urldefense.proofpoint.com/v2/url?u=https-3A__andes.accessiblelearning.com_USC_ApplicationStudent.aspx&amp;d=DwMGaQ&amp;c=0YLnzTkWOdJlub_y7qAx8Q&amp;r=6CU_zjHJNf4HbzFjdlPiONM4T4UUKVgZbvphKyBGivI&amp;m=aZ4dQxsA5e7Z9da2U0c51A2Y_zHii7PCRvxjjgEyzmk&amp;s=tCEORPKV1JMlsj7wdN19pDNhJYlQPXKOyUpotC_Dqwc&amp;e=" \h </w:instrText>
      </w:r>
      <w:r>
        <w:fldChar w:fldCharType="separate"/>
      </w:r>
      <w:r>
        <w:rPr>
          <w:color w:val="AB1500"/>
          <w:u w:val="single"/>
        </w:rPr>
        <w:t>myOSAS</w:t>
      </w:r>
      <w:proofErr w:type="spellEnd"/>
      <w:r>
        <w:rPr>
          <w:color w:val="AB1500"/>
          <w:u w:val="single"/>
        </w:rPr>
        <w:t xml:space="preserve"> Portal</w:t>
      </w:r>
      <w:r>
        <w:rPr>
          <w:color w:val="AB1500"/>
          <w:u w:val="single"/>
        </w:rPr>
        <w:fldChar w:fldCharType="end"/>
      </w:r>
      <w:r>
        <w:rPr>
          <w:color w:val="0070C0"/>
          <w:u w:val="single"/>
        </w:rPr>
        <w:t xml:space="preserve"> </w:t>
      </w:r>
      <w:r>
        <w:rPr>
          <w:color w:val="000000"/>
        </w:rPr>
        <w:t>and generate accommodation letters to provide to your instructor.</w:t>
      </w:r>
    </w:p>
    <w:p w14:paraId="304C17D5" w14:textId="77777777" w:rsidR="00DD74F5" w:rsidRDefault="001A11B3">
      <w:pPr>
        <w:pStyle w:val="Heading3"/>
      </w:pPr>
      <w:r>
        <w:t>USC Price Student Resources</w:t>
      </w:r>
    </w:p>
    <w:p w14:paraId="723B0B63" w14:textId="1820760C" w:rsidR="00DD74F5" w:rsidRDefault="001A11B3">
      <w:pPr>
        <w:spacing w:before="0" w:after="0" w:line="240" w:lineRule="auto"/>
      </w:pPr>
      <w:r>
        <w:t xml:space="preserve">Please see the </w:t>
      </w:r>
      <w:hyperlink r:id="rId39" w:anchor="computing-resources">
        <w:r>
          <w:rPr>
            <w:color w:val="AB1500"/>
            <w:u w:val="single"/>
          </w:rPr>
          <w:t>comprehensive list of all resources available to students enrolled in the Price school</w:t>
        </w:r>
      </w:hyperlink>
      <w:r>
        <w:t>.</w:t>
      </w:r>
    </w:p>
    <w:p w14:paraId="305D5E96" w14:textId="09026B20" w:rsidR="00827146" w:rsidRDefault="00827146">
      <w:pPr>
        <w:spacing w:before="0" w:after="0" w:line="240" w:lineRule="auto"/>
      </w:pPr>
    </w:p>
    <w:p w14:paraId="0E5B333E" w14:textId="77777777" w:rsidR="00DD74F5" w:rsidRDefault="001A11B3">
      <w:pPr>
        <w:pStyle w:val="Heading2"/>
      </w:pPr>
      <w:r>
        <w:t>SUPPORT SYSTEMS</w:t>
      </w:r>
    </w:p>
    <w:p w14:paraId="5BC98453" w14:textId="77777777" w:rsidR="00DD74F5" w:rsidRDefault="00DD74F5">
      <w:pPr>
        <w:spacing w:before="0" w:after="0" w:line="240" w:lineRule="auto"/>
      </w:pPr>
    </w:p>
    <w:p w14:paraId="5CE643D6" w14:textId="77777777" w:rsidR="00DD74F5" w:rsidRDefault="001A11B3" w:rsidP="00827146">
      <w:pPr>
        <w:pBdr>
          <w:top w:val="nil"/>
          <w:left w:val="nil"/>
          <w:bottom w:val="nil"/>
          <w:right w:val="nil"/>
          <w:between w:val="nil"/>
        </w:pBdr>
        <w:spacing w:before="0" w:after="40"/>
        <w:rPr>
          <w:i/>
          <w:color w:val="000000"/>
        </w:rPr>
      </w:pPr>
      <w:r>
        <w:rPr>
          <w:i/>
          <w:color w:val="000000"/>
        </w:rPr>
        <w:t>Counseling and Mental Health - (213) 740-9355 – 24/7 on call</w:t>
      </w:r>
    </w:p>
    <w:p w14:paraId="08C540DD" w14:textId="77777777" w:rsidR="00DD74F5" w:rsidRDefault="00000000" w:rsidP="00827146">
      <w:pPr>
        <w:pBdr>
          <w:top w:val="nil"/>
          <w:left w:val="nil"/>
          <w:bottom w:val="nil"/>
          <w:right w:val="nil"/>
          <w:between w:val="nil"/>
        </w:pBdr>
        <w:spacing w:before="0" w:after="40"/>
        <w:rPr>
          <w:color w:val="0070C0"/>
          <w:u w:val="single"/>
        </w:rPr>
      </w:pPr>
      <w:hyperlink r:id="rId40">
        <w:r w:rsidR="001A11B3">
          <w:rPr>
            <w:color w:val="AB1500"/>
            <w:u w:val="single"/>
          </w:rPr>
          <w:t>studenthealth.usc.edu/counseling</w:t>
        </w:r>
      </w:hyperlink>
    </w:p>
    <w:p w14:paraId="125602C7" w14:textId="77777777" w:rsidR="00DD74F5" w:rsidRDefault="001A11B3" w:rsidP="00827146">
      <w:pPr>
        <w:pBdr>
          <w:top w:val="nil"/>
          <w:left w:val="nil"/>
          <w:bottom w:val="nil"/>
          <w:right w:val="nil"/>
          <w:between w:val="nil"/>
        </w:pBdr>
        <w:spacing w:before="0" w:after="40"/>
        <w:rPr>
          <w:color w:val="000000"/>
        </w:rPr>
      </w:pPr>
      <w:r>
        <w:rPr>
          <w:color w:val="000000"/>
        </w:rPr>
        <w:t xml:space="preserve">Free and confidential mental health treatment for students, including short-term psychotherapy, group counseling, stress fitness workshops, and crisis intervention. </w:t>
      </w:r>
    </w:p>
    <w:p w14:paraId="08B55161" w14:textId="77777777" w:rsidR="00DD74F5" w:rsidRDefault="001A11B3" w:rsidP="00827146">
      <w:pPr>
        <w:pBdr>
          <w:top w:val="nil"/>
          <w:left w:val="nil"/>
          <w:bottom w:val="nil"/>
          <w:right w:val="nil"/>
          <w:between w:val="nil"/>
        </w:pBdr>
        <w:spacing w:before="0" w:after="40"/>
        <w:rPr>
          <w:color w:val="000000"/>
        </w:rPr>
      </w:pPr>
      <w:r>
        <w:fldChar w:fldCharType="begin"/>
      </w:r>
      <w:r>
        <w:instrText xml:space="preserve"> HYPERLINK "https://engemannshc.usc.edu/counseling/" </w:instrText>
      </w:r>
      <w:r>
        <w:fldChar w:fldCharType="separate"/>
      </w:r>
    </w:p>
    <w:p w14:paraId="2EFFBBD9" w14:textId="77777777" w:rsidR="00DD74F5" w:rsidRDefault="001A11B3" w:rsidP="00827146">
      <w:pPr>
        <w:pBdr>
          <w:top w:val="nil"/>
          <w:left w:val="nil"/>
          <w:bottom w:val="nil"/>
          <w:right w:val="nil"/>
          <w:between w:val="nil"/>
        </w:pBdr>
        <w:spacing w:before="0" w:after="40"/>
        <w:rPr>
          <w:i/>
          <w:color w:val="000000"/>
        </w:rPr>
      </w:pPr>
      <w:r>
        <w:fldChar w:fldCharType="end"/>
      </w:r>
      <w:r>
        <w:rPr>
          <w:i/>
          <w:color w:val="000000"/>
        </w:rPr>
        <w:t>National Suicide Prevention Lifeline - 1 (800) 273-8255 – 24/7 on call</w:t>
      </w:r>
    </w:p>
    <w:p w14:paraId="23D643DC" w14:textId="77777777" w:rsidR="00DD74F5" w:rsidRDefault="00000000" w:rsidP="00827146">
      <w:pPr>
        <w:pBdr>
          <w:top w:val="nil"/>
          <w:left w:val="nil"/>
          <w:bottom w:val="nil"/>
          <w:right w:val="nil"/>
          <w:between w:val="nil"/>
        </w:pBdr>
        <w:spacing w:before="0" w:after="40"/>
        <w:rPr>
          <w:color w:val="0070C0"/>
          <w:u w:val="single"/>
        </w:rPr>
      </w:pPr>
      <w:hyperlink r:id="rId41">
        <w:r w:rsidR="001A11B3">
          <w:rPr>
            <w:color w:val="AB1500"/>
            <w:u w:val="single"/>
          </w:rPr>
          <w:t>suicidepreventionlifeline.org</w:t>
        </w:r>
      </w:hyperlink>
    </w:p>
    <w:p w14:paraId="6DF60218" w14:textId="77777777" w:rsidR="00DD74F5" w:rsidRDefault="001A11B3" w:rsidP="00827146">
      <w:pPr>
        <w:pBdr>
          <w:top w:val="nil"/>
          <w:left w:val="nil"/>
          <w:bottom w:val="nil"/>
          <w:right w:val="nil"/>
          <w:between w:val="nil"/>
        </w:pBdr>
        <w:spacing w:before="0" w:after="40"/>
        <w:rPr>
          <w:color w:val="000000"/>
        </w:rPr>
      </w:pPr>
      <w:r>
        <w:rPr>
          <w:color w:val="000000"/>
        </w:rPr>
        <w:t>Free and confidential emotional support to people in suicidal crisis or emotional distress 24 hours a day, 7 days a week.</w:t>
      </w:r>
    </w:p>
    <w:p w14:paraId="11BB553F" w14:textId="77777777" w:rsidR="00DD74F5" w:rsidRDefault="001A11B3" w:rsidP="00827146">
      <w:pPr>
        <w:pBdr>
          <w:top w:val="nil"/>
          <w:left w:val="nil"/>
          <w:bottom w:val="nil"/>
          <w:right w:val="nil"/>
          <w:between w:val="nil"/>
        </w:pBdr>
        <w:spacing w:before="0" w:after="40"/>
        <w:rPr>
          <w:color w:val="000000"/>
        </w:rPr>
      </w:pPr>
      <w:r>
        <w:fldChar w:fldCharType="begin"/>
      </w:r>
      <w:r>
        <w:instrText xml:space="preserve"> HYPERLINK "http://www.suicidepreventionlifeline.org/" </w:instrText>
      </w:r>
      <w:r>
        <w:fldChar w:fldCharType="separate"/>
      </w:r>
    </w:p>
    <w:p w14:paraId="5AC2158C" w14:textId="77777777" w:rsidR="00DD74F5" w:rsidRDefault="001A11B3" w:rsidP="00827146">
      <w:pPr>
        <w:pBdr>
          <w:top w:val="nil"/>
          <w:left w:val="nil"/>
          <w:bottom w:val="nil"/>
          <w:right w:val="nil"/>
          <w:between w:val="nil"/>
        </w:pBdr>
        <w:spacing w:before="0" w:after="40"/>
        <w:rPr>
          <w:i/>
          <w:color w:val="000000"/>
        </w:rPr>
      </w:pPr>
      <w:r>
        <w:fldChar w:fldCharType="end"/>
      </w:r>
      <w:r>
        <w:rPr>
          <w:i/>
          <w:color w:val="000000"/>
        </w:rPr>
        <w:t>Relationship and Sexual Violence Prevention Services (RSVP) - (213) 740-9355(WELL), press “0” after hours – 24/7 on call</w:t>
      </w:r>
    </w:p>
    <w:p w14:paraId="62C17685" w14:textId="77777777" w:rsidR="00DD74F5" w:rsidRDefault="00000000" w:rsidP="00827146">
      <w:pPr>
        <w:pBdr>
          <w:top w:val="nil"/>
          <w:left w:val="nil"/>
          <w:bottom w:val="nil"/>
          <w:right w:val="nil"/>
          <w:between w:val="nil"/>
        </w:pBdr>
        <w:spacing w:before="0" w:after="40"/>
        <w:rPr>
          <w:color w:val="0070C0"/>
          <w:u w:val="single"/>
        </w:rPr>
      </w:pPr>
      <w:hyperlink r:id="rId42">
        <w:r w:rsidR="001A11B3">
          <w:rPr>
            <w:color w:val="AB1500"/>
            <w:u w:val="single"/>
          </w:rPr>
          <w:t>studenthealth.usc.edu/sexual-assault</w:t>
        </w:r>
      </w:hyperlink>
    </w:p>
    <w:p w14:paraId="32ECC447" w14:textId="77777777" w:rsidR="00DD74F5" w:rsidRDefault="001A11B3" w:rsidP="00827146">
      <w:pPr>
        <w:pBdr>
          <w:top w:val="nil"/>
          <w:left w:val="nil"/>
          <w:bottom w:val="nil"/>
          <w:right w:val="nil"/>
          <w:between w:val="nil"/>
        </w:pBdr>
        <w:spacing w:before="0" w:after="40"/>
        <w:rPr>
          <w:color w:val="1155CC"/>
          <w:u w:val="single"/>
        </w:rPr>
      </w:pPr>
      <w:r>
        <w:rPr>
          <w:color w:val="000000"/>
        </w:rP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4032AA37" w14:textId="77777777" w:rsidR="00DD74F5" w:rsidRDefault="001A11B3" w:rsidP="00827146">
      <w:pPr>
        <w:pBdr>
          <w:top w:val="nil"/>
          <w:left w:val="nil"/>
          <w:bottom w:val="nil"/>
          <w:right w:val="nil"/>
          <w:between w:val="nil"/>
        </w:pBdr>
        <w:spacing w:before="0" w:after="40"/>
        <w:rPr>
          <w:color w:val="000000"/>
        </w:rPr>
      </w:pPr>
      <w:r>
        <w:fldChar w:fldCharType="end"/>
      </w:r>
    </w:p>
    <w:p w14:paraId="72B8D253" w14:textId="77777777" w:rsidR="00DD74F5" w:rsidRDefault="001A11B3" w:rsidP="00827146">
      <w:pPr>
        <w:pBdr>
          <w:top w:val="nil"/>
          <w:left w:val="nil"/>
          <w:bottom w:val="nil"/>
          <w:right w:val="nil"/>
          <w:between w:val="nil"/>
        </w:pBdr>
        <w:spacing w:before="0" w:after="40"/>
        <w:rPr>
          <w:i/>
          <w:color w:val="000000"/>
        </w:rPr>
      </w:pPr>
      <w:r>
        <w:rPr>
          <w:i/>
          <w:color w:val="000000"/>
        </w:rPr>
        <w:t xml:space="preserve">Office for Equity, Equal Opportunity, and Title IX (EEO-TIX) - (213) 740-5086 </w:t>
      </w:r>
    </w:p>
    <w:p w14:paraId="3769ABE5" w14:textId="77777777" w:rsidR="00DD74F5" w:rsidRDefault="00000000" w:rsidP="00827146">
      <w:pPr>
        <w:pBdr>
          <w:top w:val="nil"/>
          <w:left w:val="nil"/>
          <w:bottom w:val="nil"/>
          <w:right w:val="nil"/>
          <w:between w:val="nil"/>
        </w:pBdr>
        <w:spacing w:before="0" w:after="40"/>
        <w:rPr>
          <w:color w:val="0070C0"/>
          <w:u w:val="single"/>
        </w:rPr>
      </w:pPr>
      <w:hyperlink r:id="rId43">
        <w:r w:rsidR="001A11B3">
          <w:rPr>
            <w:color w:val="AB1500"/>
            <w:u w:val="single"/>
          </w:rPr>
          <w:t>eeotix.usc.edu</w:t>
        </w:r>
      </w:hyperlink>
    </w:p>
    <w:p w14:paraId="6BF43FD6" w14:textId="77777777" w:rsidR="00DD74F5" w:rsidRDefault="001A11B3" w:rsidP="00827146">
      <w:pPr>
        <w:pBdr>
          <w:top w:val="nil"/>
          <w:left w:val="nil"/>
          <w:bottom w:val="nil"/>
          <w:right w:val="nil"/>
          <w:between w:val="nil"/>
        </w:pBdr>
        <w:spacing w:before="0" w:after="40"/>
        <w:rPr>
          <w:color w:val="000000"/>
        </w:rPr>
      </w:pPr>
      <w:r>
        <w:rPr>
          <w:color w:val="000000"/>
        </w:rPr>
        <w:t xml:space="preserve">Information about how to get help or help someone affected by harassment or discrimination, rights of protected classes, reporting options, and additional resources for students, faculty, staff, visitors, and applicants. </w:t>
      </w:r>
    </w:p>
    <w:p w14:paraId="1441F82B" w14:textId="77777777" w:rsidR="00DD74F5" w:rsidRDefault="00DD74F5" w:rsidP="00827146">
      <w:pPr>
        <w:pBdr>
          <w:top w:val="nil"/>
          <w:left w:val="nil"/>
          <w:bottom w:val="nil"/>
          <w:right w:val="nil"/>
          <w:between w:val="nil"/>
        </w:pBdr>
        <w:spacing w:before="0" w:after="40"/>
        <w:rPr>
          <w:color w:val="000000"/>
        </w:rPr>
      </w:pPr>
    </w:p>
    <w:p w14:paraId="41DA542D" w14:textId="77777777" w:rsidR="00DD74F5" w:rsidRDefault="001A11B3" w:rsidP="00827146">
      <w:pPr>
        <w:pBdr>
          <w:top w:val="nil"/>
          <w:left w:val="nil"/>
          <w:bottom w:val="nil"/>
          <w:right w:val="nil"/>
          <w:between w:val="nil"/>
        </w:pBdr>
        <w:spacing w:before="0" w:after="40"/>
        <w:rPr>
          <w:color w:val="000000"/>
        </w:rPr>
      </w:pPr>
      <w:r>
        <w:rPr>
          <w:i/>
          <w:color w:val="000000"/>
        </w:rPr>
        <w:t>Reporting Incidents of Bias or Harassment - (213) 740-5086 or (213) 821-8298</w:t>
      </w:r>
    </w:p>
    <w:p w14:paraId="6FDC11EB" w14:textId="77777777" w:rsidR="00DD74F5" w:rsidRDefault="00000000" w:rsidP="00827146">
      <w:pPr>
        <w:pBdr>
          <w:top w:val="nil"/>
          <w:left w:val="nil"/>
          <w:bottom w:val="nil"/>
          <w:right w:val="nil"/>
          <w:between w:val="nil"/>
        </w:pBdr>
        <w:spacing w:before="0" w:after="40"/>
        <w:rPr>
          <w:color w:val="0070C0"/>
          <w:u w:val="single"/>
        </w:rPr>
      </w:pPr>
      <w:hyperlink r:id="rId44">
        <w:r w:rsidR="001A11B3">
          <w:rPr>
            <w:color w:val="AB1500"/>
            <w:u w:val="single"/>
          </w:rPr>
          <w:t>usc-advocate.symplicity.com/</w:t>
        </w:r>
        <w:proofErr w:type="spellStart"/>
        <w:r w:rsidR="001A11B3">
          <w:rPr>
            <w:color w:val="AB1500"/>
            <w:u w:val="single"/>
          </w:rPr>
          <w:t>care_report</w:t>
        </w:r>
        <w:proofErr w:type="spellEnd"/>
      </w:hyperlink>
    </w:p>
    <w:p w14:paraId="68A860D3" w14:textId="77777777" w:rsidR="00DD74F5" w:rsidRDefault="001A11B3" w:rsidP="00827146">
      <w:pPr>
        <w:pBdr>
          <w:top w:val="nil"/>
          <w:left w:val="nil"/>
          <w:bottom w:val="nil"/>
          <w:right w:val="nil"/>
          <w:between w:val="nil"/>
        </w:pBdr>
        <w:spacing w:before="0" w:after="40"/>
        <w:rPr>
          <w:color w:val="1155CC"/>
          <w:u w:val="single"/>
        </w:rPr>
      </w:pPr>
      <w:r>
        <w:rPr>
          <w:color w:val="000000"/>
        </w:rPr>
        <w:t>Avenue to report incidents of bias, hate crimes, and microaggressions to the Office for Equity, Equal Opportunity, and Title for appropriate investigation, supportive measures, and response.</w:t>
      </w:r>
      <w:r>
        <w:fldChar w:fldCharType="begin"/>
      </w:r>
      <w:r>
        <w:instrText xml:space="preserve"> HYPERLINK "https://studentaffairs.usc.edu/bias-assessment-response-support/" </w:instrText>
      </w:r>
      <w:r>
        <w:fldChar w:fldCharType="separate"/>
      </w:r>
    </w:p>
    <w:p w14:paraId="1E97739E" w14:textId="77777777" w:rsidR="00DD74F5" w:rsidRDefault="001A11B3" w:rsidP="00827146">
      <w:pPr>
        <w:pBdr>
          <w:top w:val="nil"/>
          <w:left w:val="nil"/>
          <w:bottom w:val="nil"/>
          <w:right w:val="nil"/>
          <w:between w:val="nil"/>
        </w:pBdr>
        <w:spacing w:before="0" w:after="40"/>
        <w:rPr>
          <w:color w:val="000000"/>
        </w:rPr>
      </w:pPr>
      <w:r>
        <w:fldChar w:fldCharType="end"/>
      </w:r>
    </w:p>
    <w:p w14:paraId="333B3CA1" w14:textId="77777777" w:rsidR="00DD74F5" w:rsidRDefault="001A11B3" w:rsidP="00827146">
      <w:pPr>
        <w:pBdr>
          <w:top w:val="nil"/>
          <w:left w:val="nil"/>
          <w:bottom w:val="nil"/>
          <w:right w:val="nil"/>
          <w:between w:val="nil"/>
        </w:pBdr>
        <w:spacing w:before="0" w:after="40"/>
        <w:rPr>
          <w:i/>
          <w:color w:val="000000"/>
        </w:rPr>
      </w:pPr>
      <w:r>
        <w:rPr>
          <w:i/>
          <w:color w:val="000000"/>
        </w:rPr>
        <w:t>The Office of Student Accessibility Services (OSAS) - (213) 740-0776</w:t>
      </w:r>
    </w:p>
    <w:p w14:paraId="0291CA3A" w14:textId="77777777" w:rsidR="00DD74F5" w:rsidRDefault="00000000" w:rsidP="00827146">
      <w:pPr>
        <w:pBdr>
          <w:top w:val="nil"/>
          <w:left w:val="nil"/>
          <w:bottom w:val="nil"/>
          <w:right w:val="nil"/>
          <w:between w:val="nil"/>
        </w:pBdr>
        <w:spacing w:before="0" w:after="40"/>
        <w:rPr>
          <w:color w:val="0070C0"/>
          <w:u w:val="single"/>
        </w:rPr>
      </w:pPr>
      <w:hyperlink r:id="rId45">
        <w:r w:rsidR="001A11B3">
          <w:rPr>
            <w:color w:val="AB1500"/>
            <w:u w:val="single"/>
          </w:rPr>
          <w:t>osas.usc.edu</w:t>
        </w:r>
      </w:hyperlink>
    </w:p>
    <w:p w14:paraId="2E07CF77" w14:textId="308272E1" w:rsidR="00DD74F5" w:rsidRDefault="001A11B3" w:rsidP="00827146">
      <w:pPr>
        <w:pBdr>
          <w:top w:val="nil"/>
          <w:left w:val="nil"/>
          <w:bottom w:val="nil"/>
          <w:right w:val="nil"/>
          <w:between w:val="nil"/>
        </w:pBdr>
        <w:spacing w:before="0" w:after="40"/>
        <w:rPr>
          <w:color w:val="000000"/>
        </w:rPr>
      </w:pPr>
      <w:r>
        <w:rPr>
          <w:color w:val="000000"/>
        </w:rPr>
        <w:t>OSAS ensures equal access for students with disabilities through providing academic accommodations and auxiliary aids in accordance with federal laws and university policy.</w:t>
      </w:r>
    </w:p>
    <w:p w14:paraId="177DE387" w14:textId="77777777" w:rsidR="00C52FB7" w:rsidRDefault="00C52FB7" w:rsidP="00827146">
      <w:pPr>
        <w:pBdr>
          <w:top w:val="nil"/>
          <w:left w:val="nil"/>
          <w:bottom w:val="nil"/>
          <w:right w:val="nil"/>
          <w:between w:val="nil"/>
        </w:pBdr>
        <w:spacing w:before="0" w:after="40"/>
        <w:rPr>
          <w:color w:val="000000"/>
        </w:rPr>
      </w:pPr>
    </w:p>
    <w:p w14:paraId="7CAECB24" w14:textId="77777777" w:rsidR="00DD74F5" w:rsidRDefault="00DD74F5" w:rsidP="00827146">
      <w:pPr>
        <w:pBdr>
          <w:top w:val="nil"/>
          <w:left w:val="nil"/>
          <w:bottom w:val="nil"/>
          <w:right w:val="nil"/>
          <w:between w:val="nil"/>
        </w:pBdr>
        <w:spacing w:before="0" w:after="40"/>
        <w:rPr>
          <w:color w:val="000000"/>
        </w:rPr>
      </w:pPr>
    </w:p>
    <w:p w14:paraId="58B41CC9" w14:textId="77777777" w:rsidR="00DD74F5" w:rsidRDefault="001A11B3" w:rsidP="00827146">
      <w:pPr>
        <w:pBdr>
          <w:top w:val="nil"/>
          <w:left w:val="nil"/>
          <w:bottom w:val="nil"/>
          <w:right w:val="nil"/>
          <w:between w:val="nil"/>
        </w:pBdr>
        <w:spacing w:before="0" w:after="40"/>
        <w:rPr>
          <w:i/>
          <w:color w:val="000000"/>
        </w:rPr>
      </w:pPr>
      <w:r>
        <w:rPr>
          <w:i/>
          <w:color w:val="000000"/>
        </w:rPr>
        <w:lastRenderedPageBreak/>
        <w:t>USC Campus Support and Intervention - (213) 821-4710</w:t>
      </w:r>
    </w:p>
    <w:p w14:paraId="10C13CD7" w14:textId="77777777" w:rsidR="00DD74F5" w:rsidRDefault="00000000" w:rsidP="00827146">
      <w:pPr>
        <w:pBdr>
          <w:top w:val="nil"/>
          <w:left w:val="nil"/>
          <w:bottom w:val="nil"/>
          <w:right w:val="nil"/>
          <w:between w:val="nil"/>
        </w:pBdr>
        <w:spacing w:before="0" w:after="40"/>
        <w:rPr>
          <w:color w:val="0070C0"/>
          <w:u w:val="single"/>
        </w:rPr>
      </w:pPr>
      <w:hyperlink r:id="rId46">
        <w:r w:rsidR="001A11B3">
          <w:rPr>
            <w:color w:val="AB1500"/>
            <w:u w:val="single"/>
          </w:rPr>
          <w:t>campussupport.usc.edu</w:t>
        </w:r>
      </w:hyperlink>
    </w:p>
    <w:p w14:paraId="6047B435" w14:textId="77777777" w:rsidR="00DD74F5" w:rsidRDefault="001A11B3" w:rsidP="00827146">
      <w:pPr>
        <w:pBdr>
          <w:top w:val="nil"/>
          <w:left w:val="nil"/>
          <w:bottom w:val="nil"/>
          <w:right w:val="nil"/>
          <w:between w:val="nil"/>
        </w:pBdr>
        <w:spacing w:before="0" w:after="40"/>
        <w:rPr>
          <w:color w:val="000000"/>
        </w:rPr>
      </w:pPr>
      <w:r>
        <w:rPr>
          <w:color w:val="000000"/>
        </w:rPr>
        <w:t>Assists students and families in resolving complex personal, financial, and academic issues adversely affecting their success as a student.</w:t>
      </w:r>
    </w:p>
    <w:p w14:paraId="39D9469F" w14:textId="77777777" w:rsidR="00DD74F5" w:rsidRDefault="00DD74F5" w:rsidP="00827146">
      <w:pPr>
        <w:pBdr>
          <w:top w:val="nil"/>
          <w:left w:val="nil"/>
          <w:bottom w:val="nil"/>
          <w:right w:val="nil"/>
          <w:between w:val="nil"/>
        </w:pBdr>
        <w:spacing w:before="0" w:after="40"/>
        <w:rPr>
          <w:color w:val="000000"/>
        </w:rPr>
      </w:pPr>
    </w:p>
    <w:p w14:paraId="5F7714C8" w14:textId="77777777" w:rsidR="00DD74F5" w:rsidRDefault="001A11B3" w:rsidP="00827146">
      <w:pPr>
        <w:pBdr>
          <w:top w:val="nil"/>
          <w:left w:val="nil"/>
          <w:bottom w:val="nil"/>
          <w:right w:val="nil"/>
          <w:between w:val="nil"/>
        </w:pBdr>
        <w:spacing w:before="0" w:after="40"/>
        <w:rPr>
          <w:i/>
          <w:color w:val="000000"/>
        </w:rPr>
      </w:pPr>
      <w:r>
        <w:rPr>
          <w:i/>
          <w:color w:val="000000"/>
        </w:rPr>
        <w:t>Diversity, Equity and Inclusion - (213) 740-2101</w:t>
      </w:r>
    </w:p>
    <w:p w14:paraId="76652062" w14:textId="77777777" w:rsidR="00DD74F5" w:rsidRDefault="00000000" w:rsidP="00827146">
      <w:pPr>
        <w:pBdr>
          <w:top w:val="nil"/>
          <w:left w:val="nil"/>
          <w:bottom w:val="nil"/>
          <w:right w:val="nil"/>
          <w:between w:val="nil"/>
        </w:pBdr>
        <w:spacing w:before="0" w:after="40"/>
        <w:rPr>
          <w:color w:val="AB1500"/>
        </w:rPr>
      </w:pPr>
      <w:hyperlink r:id="rId47">
        <w:r w:rsidR="001A11B3">
          <w:rPr>
            <w:color w:val="AB1500"/>
            <w:u w:val="single"/>
          </w:rPr>
          <w:t>diversity.usc.edu</w:t>
        </w:r>
      </w:hyperlink>
    </w:p>
    <w:p w14:paraId="209846BD" w14:textId="77777777" w:rsidR="00DD74F5" w:rsidRDefault="001A11B3" w:rsidP="00827146">
      <w:pPr>
        <w:pBdr>
          <w:top w:val="nil"/>
          <w:left w:val="nil"/>
          <w:bottom w:val="nil"/>
          <w:right w:val="nil"/>
          <w:between w:val="nil"/>
        </w:pBdr>
        <w:spacing w:before="0" w:after="40"/>
        <w:rPr>
          <w:color w:val="1155CC"/>
          <w:u w:val="single"/>
        </w:rPr>
      </w:pPr>
      <w:r>
        <w:rPr>
          <w:color w:val="000000"/>
        </w:rP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0CDE934F" w14:textId="77777777" w:rsidR="00DD74F5" w:rsidRDefault="001A11B3" w:rsidP="00827146">
      <w:pPr>
        <w:pBdr>
          <w:top w:val="nil"/>
          <w:left w:val="nil"/>
          <w:bottom w:val="nil"/>
          <w:right w:val="nil"/>
          <w:between w:val="nil"/>
        </w:pBdr>
        <w:spacing w:before="0" w:after="40"/>
        <w:rPr>
          <w:color w:val="000000"/>
        </w:rPr>
      </w:pPr>
      <w:r>
        <w:fldChar w:fldCharType="end"/>
      </w:r>
    </w:p>
    <w:p w14:paraId="51C5FE96" w14:textId="77777777" w:rsidR="00DD74F5" w:rsidRDefault="001A11B3" w:rsidP="00827146">
      <w:pPr>
        <w:pBdr>
          <w:top w:val="nil"/>
          <w:left w:val="nil"/>
          <w:bottom w:val="nil"/>
          <w:right w:val="nil"/>
          <w:between w:val="nil"/>
        </w:pBdr>
        <w:spacing w:before="0" w:after="40"/>
        <w:rPr>
          <w:i/>
          <w:color w:val="000000"/>
        </w:rPr>
      </w:pPr>
      <w:r>
        <w:rPr>
          <w:i/>
          <w:color w:val="000000"/>
        </w:rPr>
        <w:t xml:space="preserve">USC Emergency - UPC: (213) 740-4321, HSC: (323) 442-1000 – 24/7 on call </w:t>
      </w:r>
    </w:p>
    <w:p w14:paraId="33C4A5DF" w14:textId="77777777" w:rsidR="00DD74F5" w:rsidRDefault="00000000" w:rsidP="00827146">
      <w:pPr>
        <w:pBdr>
          <w:top w:val="nil"/>
          <w:left w:val="nil"/>
          <w:bottom w:val="nil"/>
          <w:right w:val="nil"/>
          <w:between w:val="nil"/>
        </w:pBdr>
        <w:spacing w:before="0" w:after="40"/>
        <w:rPr>
          <w:color w:val="000000"/>
        </w:rPr>
      </w:pPr>
      <w:hyperlink r:id="rId48">
        <w:r w:rsidR="001A11B3">
          <w:rPr>
            <w:color w:val="AB1500"/>
            <w:u w:val="single"/>
          </w:rPr>
          <w:t>dps.usc.edu</w:t>
        </w:r>
      </w:hyperlink>
      <w:r w:rsidR="001A11B3">
        <w:rPr>
          <w:color w:val="000000"/>
        </w:rPr>
        <w:t xml:space="preserve">, </w:t>
      </w:r>
      <w:hyperlink r:id="rId49">
        <w:r w:rsidR="001A11B3">
          <w:rPr>
            <w:color w:val="AB1500"/>
            <w:u w:val="single"/>
          </w:rPr>
          <w:t>emergency.usc.edu</w:t>
        </w:r>
      </w:hyperlink>
    </w:p>
    <w:p w14:paraId="1A1C2CA3" w14:textId="77777777" w:rsidR="00DD74F5" w:rsidRDefault="001A11B3" w:rsidP="00827146">
      <w:pPr>
        <w:pBdr>
          <w:top w:val="nil"/>
          <w:left w:val="nil"/>
          <w:bottom w:val="nil"/>
          <w:right w:val="nil"/>
          <w:between w:val="nil"/>
        </w:pBdr>
        <w:spacing w:before="0" w:after="40"/>
        <w:rPr>
          <w:color w:val="000000"/>
        </w:rPr>
      </w:pPr>
      <w:r>
        <w:rPr>
          <w:color w:val="000000"/>
        </w:rPr>
        <w:t>Emergency assistance and avenue to report a crime. Latest updates regarding safety, including ways in which instruction will be continued if an officially declared emergency makes travel to campus infeasible.</w:t>
      </w:r>
    </w:p>
    <w:p w14:paraId="45E92DC6" w14:textId="77777777" w:rsidR="00DD74F5" w:rsidRDefault="00DD74F5" w:rsidP="00827146">
      <w:pPr>
        <w:pBdr>
          <w:top w:val="nil"/>
          <w:left w:val="nil"/>
          <w:bottom w:val="nil"/>
          <w:right w:val="nil"/>
          <w:between w:val="nil"/>
        </w:pBdr>
        <w:spacing w:before="0" w:after="40"/>
        <w:rPr>
          <w:color w:val="000000"/>
        </w:rPr>
      </w:pPr>
    </w:p>
    <w:p w14:paraId="1D8DE67D" w14:textId="77777777" w:rsidR="00DD74F5" w:rsidRDefault="001A11B3" w:rsidP="00827146">
      <w:pPr>
        <w:pBdr>
          <w:top w:val="nil"/>
          <w:left w:val="nil"/>
          <w:bottom w:val="nil"/>
          <w:right w:val="nil"/>
          <w:between w:val="nil"/>
        </w:pBdr>
        <w:spacing w:before="0" w:after="40"/>
        <w:rPr>
          <w:i/>
          <w:color w:val="000000"/>
        </w:rPr>
      </w:pPr>
      <w:r>
        <w:rPr>
          <w:i/>
          <w:color w:val="000000"/>
        </w:rPr>
        <w:t xml:space="preserve">USC Department of Public Safety - UPC: (213) 740-6000, HSC: (323) 442-120 – 24/7 on call </w:t>
      </w:r>
    </w:p>
    <w:p w14:paraId="67D00FEA" w14:textId="77777777" w:rsidR="00DD74F5" w:rsidRDefault="00000000" w:rsidP="00827146">
      <w:pPr>
        <w:pBdr>
          <w:top w:val="nil"/>
          <w:left w:val="nil"/>
          <w:bottom w:val="nil"/>
          <w:right w:val="nil"/>
          <w:between w:val="nil"/>
        </w:pBdr>
        <w:spacing w:before="0" w:after="40"/>
        <w:rPr>
          <w:color w:val="AB1500"/>
        </w:rPr>
      </w:pPr>
      <w:hyperlink r:id="rId50">
        <w:r w:rsidR="001A11B3">
          <w:rPr>
            <w:color w:val="AB1500"/>
            <w:u w:val="single"/>
          </w:rPr>
          <w:t>dps.usc.edu</w:t>
        </w:r>
      </w:hyperlink>
    </w:p>
    <w:p w14:paraId="33FF814A" w14:textId="77777777" w:rsidR="00DD74F5" w:rsidRDefault="001A11B3" w:rsidP="00827146">
      <w:pPr>
        <w:pBdr>
          <w:top w:val="nil"/>
          <w:left w:val="nil"/>
          <w:bottom w:val="nil"/>
          <w:right w:val="nil"/>
          <w:between w:val="nil"/>
        </w:pBdr>
        <w:spacing w:before="0" w:after="40"/>
        <w:rPr>
          <w:color w:val="000000"/>
        </w:rPr>
      </w:pPr>
      <w:r>
        <w:rPr>
          <w:color w:val="000000"/>
        </w:rPr>
        <w:t>Non-emergency assistance or information.</w:t>
      </w:r>
    </w:p>
    <w:p w14:paraId="6C0FC255" w14:textId="77777777" w:rsidR="00DD74F5" w:rsidRDefault="00DD74F5" w:rsidP="00827146">
      <w:pPr>
        <w:pBdr>
          <w:top w:val="nil"/>
          <w:left w:val="nil"/>
          <w:bottom w:val="nil"/>
          <w:right w:val="nil"/>
          <w:between w:val="nil"/>
        </w:pBdr>
        <w:spacing w:before="0" w:after="40"/>
        <w:rPr>
          <w:color w:val="000000"/>
        </w:rPr>
      </w:pPr>
    </w:p>
    <w:p w14:paraId="339F178A" w14:textId="77777777" w:rsidR="00DD74F5" w:rsidRDefault="001A11B3" w:rsidP="00827146">
      <w:pPr>
        <w:pBdr>
          <w:top w:val="nil"/>
          <w:left w:val="nil"/>
          <w:bottom w:val="nil"/>
          <w:right w:val="nil"/>
          <w:between w:val="nil"/>
        </w:pBdr>
        <w:spacing w:before="0" w:after="40"/>
        <w:rPr>
          <w:i/>
          <w:color w:val="000000"/>
        </w:rPr>
      </w:pPr>
      <w:r>
        <w:rPr>
          <w:i/>
          <w:color w:val="000000"/>
        </w:rPr>
        <w:t>Office of the Ombuds - (213) 821-9556 (UPC) / (323-442-0382 (HSC)</w:t>
      </w:r>
    </w:p>
    <w:p w14:paraId="7956C8E5" w14:textId="77777777" w:rsidR="00DD74F5" w:rsidRDefault="00000000" w:rsidP="00827146">
      <w:pPr>
        <w:pBdr>
          <w:top w:val="nil"/>
          <w:left w:val="nil"/>
          <w:bottom w:val="nil"/>
          <w:right w:val="nil"/>
          <w:between w:val="nil"/>
        </w:pBdr>
        <w:spacing w:before="0" w:after="40"/>
        <w:rPr>
          <w:color w:val="0070C0"/>
          <w:u w:val="single"/>
        </w:rPr>
      </w:pPr>
      <w:hyperlink r:id="rId51">
        <w:r w:rsidR="001A11B3">
          <w:rPr>
            <w:color w:val="AB1500"/>
            <w:u w:val="single"/>
          </w:rPr>
          <w:t xml:space="preserve">ombuds.usc.edu </w:t>
        </w:r>
      </w:hyperlink>
      <w:r w:rsidR="001A11B3">
        <w:rPr>
          <w:color w:val="0070C0"/>
          <w:u w:val="single"/>
        </w:rPr>
        <w:t xml:space="preserve"> </w:t>
      </w:r>
    </w:p>
    <w:p w14:paraId="1165E923" w14:textId="77777777" w:rsidR="00DD74F5" w:rsidRDefault="001A11B3" w:rsidP="00827146">
      <w:pPr>
        <w:pBdr>
          <w:top w:val="nil"/>
          <w:left w:val="nil"/>
          <w:bottom w:val="nil"/>
          <w:right w:val="nil"/>
          <w:between w:val="nil"/>
        </w:pBdr>
        <w:spacing w:before="0" w:after="40"/>
        <w:rPr>
          <w:color w:val="000000"/>
        </w:rPr>
      </w:pPr>
      <w:r>
        <w:rPr>
          <w:color w:val="000000"/>
        </w:rPr>
        <w:t>A safe and confidential place to share your USC-related issues with a University Ombuds who will work with you to explore options or paths to manage your concern.</w:t>
      </w:r>
    </w:p>
    <w:p w14:paraId="0DADA595" w14:textId="77777777" w:rsidR="00DD74F5" w:rsidRDefault="00DD74F5" w:rsidP="00827146">
      <w:pPr>
        <w:pBdr>
          <w:top w:val="nil"/>
          <w:left w:val="nil"/>
          <w:bottom w:val="nil"/>
          <w:right w:val="nil"/>
          <w:between w:val="nil"/>
        </w:pBdr>
        <w:spacing w:before="0" w:after="40"/>
        <w:rPr>
          <w:color w:val="000000"/>
        </w:rPr>
      </w:pPr>
    </w:p>
    <w:p w14:paraId="59B5EBA4" w14:textId="77777777" w:rsidR="00DD74F5" w:rsidRDefault="001A11B3" w:rsidP="00827146">
      <w:pPr>
        <w:pBdr>
          <w:top w:val="nil"/>
          <w:left w:val="nil"/>
          <w:bottom w:val="nil"/>
          <w:right w:val="nil"/>
          <w:between w:val="nil"/>
        </w:pBdr>
        <w:spacing w:before="0" w:after="40"/>
        <w:rPr>
          <w:color w:val="0070C0"/>
          <w:u w:val="single"/>
        </w:rPr>
      </w:pPr>
      <w:r>
        <w:rPr>
          <w:i/>
          <w:color w:val="000000"/>
        </w:rPr>
        <w:t>Occupational Therapy Faculty Practice - (323) 442-3340</w:t>
      </w:r>
      <w:r>
        <w:rPr>
          <w:color w:val="000000"/>
        </w:rPr>
        <w:t xml:space="preserve"> or </w:t>
      </w:r>
      <w:hyperlink r:id="rId52">
        <w:r>
          <w:rPr>
            <w:color w:val="AB1500"/>
            <w:u w:val="single"/>
          </w:rPr>
          <w:t>otfp@med.usc.edu</w:t>
        </w:r>
      </w:hyperlink>
      <w:r>
        <w:rPr>
          <w:color w:val="AB1500"/>
          <w:u w:val="single"/>
        </w:rPr>
        <w:t xml:space="preserve"> </w:t>
      </w:r>
    </w:p>
    <w:p w14:paraId="331DDA5B" w14:textId="77777777" w:rsidR="00DD74F5" w:rsidRDefault="00000000" w:rsidP="00827146">
      <w:pPr>
        <w:pBdr>
          <w:top w:val="nil"/>
          <w:left w:val="nil"/>
          <w:bottom w:val="nil"/>
          <w:right w:val="nil"/>
          <w:between w:val="nil"/>
        </w:pBdr>
        <w:spacing w:before="0" w:after="40"/>
        <w:rPr>
          <w:color w:val="AB1500"/>
          <w:u w:val="single"/>
        </w:rPr>
      </w:pPr>
      <w:hyperlink r:id="rId53">
        <w:r w:rsidR="001A11B3">
          <w:rPr>
            <w:color w:val="AB1500"/>
            <w:u w:val="single"/>
          </w:rPr>
          <w:t>chan.usc.edu/</w:t>
        </w:r>
        <w:proofErr w:type="spellStart"/>
        <w:r w:rsidR="001A11B3">
          <w:rPr>
            <w:color w:val="AB1500"/>
            <w:u w:val="single"/>
          </w:rPr>
          <w:t>otfp</w:t>
        </w:r>
        <w:proofErr w:type="spellEnd"/>
      </w:hyperlink>
      <w:r w:rsidR="001A11B3">
        <w:rPr>
          <w:color w:val="AB1500"/>
          <w:u w:val="single"/>
        </w:rPr>
        <w:t xml:space="preserve"> </w:t>
      </w:r>
    </w:p>
    <w:p w14:paraId="1B4E9E7E" w14:textId="77777777" w:rsidR="00DD74F5" w:rsidRDefault="001A11B3" w:rsidP="00827146">
      <w:pPr>
        <w:pBdr>
          <w:top w:val="nil"/>
          <w:left w:val="nil"/>
          <w:bottom w:val="nil"/>
          <w:right w:val="nil"/>
          <w:between w:val="nil"/>
        </w:pBdr>
        <w:spacing w:before="0" w:after="40"/>
        <w:rPr>
          <w:color w:val="000000"/>
        </w:rPr>
      </w:pPr>
      <w:r>
        <w:rPr>
          <w:color w:val="000000"/>
        </w:rPr>
        <w:t>​Confidential Lifestyle Redesign services for USC students to support health promoting habits and routines that enhance quality of life and academic performance.</w:t>
      </w:r>
    </w:p>
    <w:sectPr w:rsidR="00DD74F5">
      <w:headerReference w:type="default" r:id="rId54"/>
      <w:footerReference w:type="even" r:id="rId55"/>
      <w:footerReference w:type="default" r:id="rId56"/>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FF53" w14:textId="77777777" w:rsidR="00034FDF" w:rsidRDefault="00034FDF">
      <w:pPr>
        <w:spacing w:before="0" w:after="0" w:line="240" w:lineRule="auto"/>
      </w:pPr>
      <w:r>
        <w:separator/>
      </w:r>
    </w:p>
  </w:endnote>
  <w:endnote w:type="continuationSeparator" w:id="0">
    <w:p w14:paraId="7C93322C" w14:textId="77777777" w:rsidR="00034FDF" w:rsidRDefault="00034F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92FF" w14:textId="77777777" w:rsidR="00137BE1" w:rsidRDefault="00137BE1">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end"/>
    </w:r>
  </w:p>
  <w:p w14:paraId="24001455" w14:textId="77777777" w:rsidR="00137BE1" w:rsidRDefault="00137BE1">
    <w:pPr>
      <w:pBdr>
        <w:top w:val="nil"/>
        <w:left w:val="nil"/>
        <w:bottom w:val="nil"/>
        <w:right w:val="nil"/>
        <w:between w:val="nil"/>
      </w:pBdr>
      <w:tabs>
        <w:tab w:val="center" w:pos="4680"/>
        <w:tab w:val="right" w:pos="9360"/>
      </w:tabs>
      <w:spacing w:before="0"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7DA0" w14:textId="77777777" w:rsidR="00137BE1" w:rsidRDefault="00137BE1">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AF95F5C" w14:textId="77777777" w:rsidR="00137BE1" w:rsidRDefault="00137BE1">
    <w:pPr>
      <w:pBdr>
        <w:top w:val="nil"/>
        <w:left w:val="nil"/>
        <w:bottom w:val="nil"/>
        <w:right w:val="nil"/>
        <w:between w:val="nil"/>
      </w:pBdr>
      <w:tabs>
        <w:tab w:val="center" w:pos="4680"/>
        <w:tab w:val="right" w:pos="9360"/>
      </w:tabs>
      <w:spacing w:before="0" w:after="0" w:line="240" w:lineRule="auto"/>
      <w:ind w:right="360" w:hanging="9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FBDE" w14:textId="77777777" w:rsidR="00137BE1" w:rsidRDefault="00137BE1">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end"/>
    </w:r>
  </w:p>
  <w:p w14:paraId="3EE94240" w14:textId="77777777" w:rsidR="00137BE1" w:rsidRDefault="00137BE1">
    <w:pPr>
      <w:pBdr>
        <w:top w:val="nil"/>
        <w:left w:val="nil"/>
        <w:bottom w:val="nil"/>
        <w:right w:val="nil"/>
        <w:between w:val="nil"/>
      </w:pBdr>
      <w:tabs>
        <w:tab w:val="center" w:pos="4680"/>
        <w:tab w:val="right" w:pos="9360"/>
      </w:tabs>
      <w:spacing w:before="0" w:after="0" w:line="240" w:lineRule="auto"/>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A16C" w14:textId="252F323C" w:rsidR="00137BE1" w:rsidRDefault="00137BE1">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209568A1" w14:textId="77777777" w:rsidR="00137BE1" w:rsidRDefault="00137BE1">
    <w:pPr>
      <w:pBdr>
        <w:top w:val="nil"/>
        <w:left w:val="nil"/>
        <w:bottom w:val="nil"/>
        <w:right w:val="nil"/>
        <w:between w:val="nil"/>
      </w:pBdr>
      <w:tabs>
        <w:tab w:val="center" w:pos="4680"/>
        <w:tab w:val="right" w:pos="9360"/>
      </w:tabs>
      <w:spacing w:before="0" w:after="0" w:line="240" w:lineRule="auto"/>
      <w:ind w:right="360" w:hanging="9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3864" w14:textId="77777777" w:rsidR="00034FDF" w:rsidRDefault="00034FDF">
      <w:pPr>
        <w:spacing w:before="0" w:after="0" w:line="240" w:lineRule="auto"/>
      </w:pPr>
      <w:r>
        <w:separator/>
      </w:r>
    </w:p>
  </w:footnote>
  <w:footnote w:type="continuationSeparator" w:id="0">
    <w:p w14:paraId="4E060BF9" w14:textId="77777777" w:rsidR="00034FDF" w:rsidRDefault="00034F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CF5E" w14:textId="77777777" w:rsidR="00137BE1" w:rsidRDefault="00137BE1">
    <w:pPr>
      <w:pBdr>
        <w:top w:val="nil"/>
        <w:left w:val="nil"/>
        <w:bottom w:val="nil"/>
        <w:right w:val="nil"/>
        <w:between w:val="nil"/>
      </w:pBdr>
      <w:tabs>
        <w:tab w:val="center" w:pos="4680"/>
        <w:tab w:val="right" w:pos="9360"/>
      </w:tabs>
      <w:spacing w:before="0"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15E" w14:textId="77777777" w:rsidR="00137BE1" w:rsidRDefault="00137BE1">
    <w:pPr>
      <w:pBdr>
        <w:top w:val="nil"/>
        <w:left w:val="nil"/>
        <w:bottom w:val="nil"/>
        <w:right w:val="nil"/>
        <w:between w:val="nil"/>
      </w:pBdr>
      <w:tabs>
        <w:tab w:val="center" w:pos="4680"/>
        <w:tab w:val="right" w:pos="9360"/>
      </w:tabs>
      <w:spacing w:before="0" w:after="0" w:line="240" w:lineRule="auto"/>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732"/>
    <w:multiLevelType w:val="hybridMultilevel"/>
    <w:tmpl w:val="2200C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426F"/>
    <w:multiLevelType w:val="multilevel"/>
    <w:tmpl w:val="DC58C5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B23DB"/>
    <w:multiLevelType w:val="multilevel"/>
    <w:tmpl w:val="A8B6B7A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C3366"/>
    <w:multiLevelType w:val="multilevel"/>
    <w:tmpl w:val="C378850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7049E"/>
    <w:multiLevelType w:val="hybridMultilevel"/>
    <w:tmpl w:val="C838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A33FE"/>
    <w:multiLevelType w:val="multilevel"/>
    <w:tmpl w:val="9A5E75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6541A1"/>
    <w:multiLevelType w:val="hybridMultilevel"/>
    <w:tmpl w:val="EF7AB3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6911581"/>
    <w:multiLevelType w:val="multilevel"/>
    <w:tmpl w:val="7096B9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AD452C"/>
    <w:multiLevelType w:val="multilevel"/>
    <w:tmpl w:val="FCEEF6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97193B"/>
    <w:multiLevelType w:val="hybridMultilevel"/>
    <w:tmpl w:val="4ECEA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B0440"/>
    <w:multiLevelType w:val="multilevel"/>
    <w:tmpl w:val="3BDA8BF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F75313"/>
    <w:multiLevelType w:val="multilevel"/>
    <w:tmpl w:val="A5A63D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457782">
    <w:abstractNumId w:val="3"/>
  </w:num>
  <w:num w:numId="2" w16cid:durableId="1472014212">
    <w:abstractNumId w:val="1"/>
  </w:num>
  <w:num w:numId="3" w16cid:durableId="1334184935">
    <w:abstractNumId w:val="6"/>
  </w:num>
  <w:num w:numId="4" w16cid:durableId="1629706031">
    <w:abstractNumId w:val="4"/>
  </w:num>
  <w:num w:numId="5" w16cid:durableId="1129786924">
    <w:abstractNumId w:val="9"/>
  </w:num>
  <w:num w:numId="6" w16cid:durableId="281233569">
    <w:abstractNumId w:val="0"/>
  </w:num>
  <w:num w:numId="7" w16cid:durableId="1284917530">
    <w:abstractNumId w:val="10"/>
  </w:num>
  <w:num w:numId="8" w16cid:durableId="974408484">
    <w:abstractNumId w:val="11"/>
  </w:num>
  <w:num w:numId="9" w16cid:durableId="184637212">
    <w:abstractNumId w:val="8"/>
  </w:num>
  <w:num w:numId="10" w16cid:durableId="64183033">
    <w:abstractNumId w:val="5"/>
  </w:num>
  <w:num w:numId="11" w16cid:durableId="1068770823">
    <w:abstractNumId w:val="7"/>
  </w:num>
  <w:num w:numId="12" w16cid:durableId="132627906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5"/>
    <w:rsid w:val="00034FDF"/>
    <w:rsid w:val="00137BE1"/>
    <w:rsid w:val="001A11B3"/>
    <w:rsid w:val="00316FAF"/>
    <w:rsid w:val="0045263C"/>
    <w:rsid w:val="004825AD"/>
    <w:rsid w:val="004B2E20"/>
    <w:rsid w:val="005E4153"/>
    <w:rsid w:val="006A6857"/>
    <w:rsid w:val="00764E4D"/>
    <w:rsid w:val="007C17EA"/>
    <w:rsid w:val="007F258C"/>
    <w:rsid w:val="00827146"/>
    <w:rsid w:val="008C340A"/>
    <w:rsid w:val="00931702"/>
    <w:rsid w:val="00931825"/>
    <w:rsid w:val="00AA667C"/>
    <w:rsid w:val="00AF7CD1"/>
    <w:rsid w:val="00BC2A13"/>
    <w:rsid w:val="00C323DE"/>
    <w:rsid w:val="00C52FB7"/>
    <w:rsid w:val="00CD6F2A"/>
    <w:rsid w:val="00DD74F5"/>
    <w:rsid w:val="00E172DE"/>
    <w:rsid w:val="00E205A9"/>
    <w:rsid w:val="00E332BF"/>
    <w:rsid w:val="00F62389"/>
    <w:rsid w:val="00F95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C945"/>
  <w15:docId w15:val="{FDF1E71D-9199-4388-ACFC-7CD4B5FE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color w:val="FFFFFF"/>
      <w:sz w:val="22"/>
      <w:szCs w:val="22"/>
    </w:rPr>
  </w:style>
  <w:style w:type="paragraph" w:styleId="Heading2">
    <w:name w:val="heading 2"/>
    <w:basedOn w:val="Normal"/>
    <w:next w:val="Normal"/>
    <w:uiPriority w:val="9"/>
    <w:unhideWhenUsed/>
    <w:qFormat/>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color w:val="FFFFFF"/>
    </w:rPr>
  </w:style>
  <w:style w:type="paragraph" w:styleId="Heading3">
    <w:name w:val="heading 3"/>
    <w:basedOn w:val="Normal"/>
    <w:next w:val="Normal"/>
    <w:uiPriority w:val="9"/>
    <w:unhideWhenUsed/>
    <w:qFormat/>
    <w:pPr>
      <w:pBdr>
        <w:top w:val="single" w:sz="6" w:space="2" w:color="C00000"/>
      </w:pBdr>
      <w:spacing w:before="300" w:after="0"/>
      <w:outlineLvl w:val="2"/>
    </w:pPr>
    <w:rPr>
      <w:color w:val="C00000"/>
    </w:rPr>
  </w:style>
  <w:style w:type="paragraph" w:styleId="Heading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mallCaps/>
      <w:color w:val="4472C4"/>
      <w:sz w:val="52"/>
      <w:szCs w:val="52"/>
    </w:rPr>
  </w:style>
  <w:style w:type="paragraph" w:styleId="Subtitle">
    <w:name w:val="Subtitle"/>
    <w:basedOn w:val="Normal"/>
    <w:next w:val="Normal"/>
    <w:uiPriority w:val="11"/>
    <w:qFormat/>
    <w:pPr>
      <w:spacing w:before="0" w:after="500" w:line="240" w:lineRule="auto"/>
    </w:pPr>
    <w:rPr>
      <w:smallCaps/>
      <w:color w:val="595959"/>
      <w:sz w:val="21"/>
      <w:szCs w:val="21"/>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4">
    <w:name w:val="14"/>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3">
    <w:name w:val="13"/>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2">
    <w:name w:val="12"/>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1">
    <w:name w:val="11"/>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0">
    <w:name w:val="10"/>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9">
    <w:name w:val="9"/>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8">
    <w:name w:val="8"/>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7">
    <w:name w:val="7"/>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6">
    <w:name w:val="6"/>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5">
    <w:name w:val="5"/>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4">
    <w:name w:val="4"/>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3">
    <w:name w:val="3"/>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2">
    <w:name w:val="2"/>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
    <w:name w:val="1"/>
    <w:basedOn w:val="TableNormal"/>
    <w:rPr>
      <w:color w:val="C55911"/>
    </w:rPr>
    <w:tblPr>
      <w:tblStyleRowBandSize w:val="1"/>
      <w:tblStyleColBandSize w:val="1"/>
      <w:tblCellMar>
        <w:left w:w="115" w:type="dxa"/>
        <w:right w:w="115" w:type="dxa"/>
      </w:tblCellMar>
    </w:tblPr>
    <w:tcPr>
      <w:shd w:val="clear" w:color="auto" w:fill="EDEDED"/>
    </w:tc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rsid w:val="00E332BF"/>
    <w:rPr>
      <w:color w:val="0000FF"/>
      <w:u w:val="single"/>
    </w:rPr>
  </w:style>
  <w:style w:type="paragraph" w:styleId="ListParagraph">
    <w:name w:val="List Paragraph"/>
    <w:basedOn w:val="Normal"/>
    <w:uiPriority w:val="34"/>
    <w:qFormat/>
    <w:rsid w:val="00E332BF"/>
    <w:pPr>
      <w:spacing w:before="0"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E332BF"/>
    <w:pPr>
      <w:spacing w:before="0" w:after="0" w:line="240" w:lineRule="auto"/>
    </w:pPr>
    <w:rPr>
      <w:rFonts w:ascii="Times New Roman" w:eastAsia="Times New Roman" w:hAnsi="Times New Roman" w:cs="Times New Roman"/>
      <w:bCs/>
      <w:sz w:val="22"/>
    </w:rPr>
  </w:style>
  <w:style w:type="character" w:customStyle="1" w:styleId="BodyTextChar">
    <w:name w:val="Body Text Char"/>
    <w:basedOn w:val="DefaultParagraphFont"/>
    <w:link w:val="BodyText"/>
    <w:rsid w:val="00E332BF"/>
    <w:rPr>
      <w:rFonts w:ascii="Times New Roman" w:eastAsia="Times New Roman" w:hAnsi="Times New Roman" w:cs="Times New Roman"/>
      <w:bCs/>
      <w:sz w:val="22"/>
    </w:rPr>
  </w:style>
  <w:style w:type="character" w:customStyle="1" w:styleId="tooltiptext">
    <w:name w:val="tool_tip_text"/>
    <w:basedOn w:val="DefaultParagraphFont"/>
    <w:rsid w:val="00E332BF"/>
  </w:style>
  <w:style w:type="paragraph" w:styleId="BalloonText">
    <w:name w:val="Balloon Text"/>
    <w:basedOn w:val="Normal"/>
    <w:link w:val="BalloonTextChar"/>
    <w:uiPriority w:val="99"/>
    <w:semiHidden/>
    <w:unhideWhenUsed/>
    <w:rsid w:val="00137B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E1"/>
    <w:rPr>
      <w:rFonts w:ascii="Segoe UI" w:hAnsi="Segoe UI" w:cs="Segoe UI"/>
      <w:sz w:val="18"/>
      <w:szCs w:val="18"/>
    </w:rPr>
  </w:style>
  <w:style w:type="paragraph" w:styleId="NormalWeb">
    <w:name w:val="Normal (Web)"/>
    <w:basedOn w:val="Normal"/>
    <w:uiPriority w:val="99"/>
    <w:unhideWhenUsed/>
    <w:rsid w:val="00827146"/>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lackboard.usc.edu" TargetMode="External"/><Relationship Id="rId18" Type="http://schemas.openxmlformats.org/officeDocument/2006/relationships/hyperlink" Target="http://cityplanning.lacity.org" TargetMode="External"/><Relationship Id="rId26" Type="http://schemas.openxmlformats.org/officeDocument/2006/relationships/hyperlink" Target="https://info.flip.com/" TargetMode="External"/><Relationship Id="rId39" Type="http://schemas.openxmlformats.org/officeDocument/2006/relationships/hyperlink" Target="https://priceschool.usc.edu/students/resources/" TargetMode="External"/><Relationship Id="rId21" Type="http://schemas.openxmlformats.org/officeDocument/2006/relationships/hyperlink" Target="https://blackboard.usc.edu/" TargetMode="External"/><Relationship Id="rId34" Type="http://schemas.openxmlformats.org/officeDocument/2006/relationships/hyperlink" Target="https://policy.usc.edu/wp-content/uploads/2021/08/SCampus-Part-B-Student-Conduct-Code.pdf" TargetMode="External"/><Relationship Id="rId42" Type="http://schemas.openxmlformats.org/officeDocument/2006/relationships/hyperlink" Target="https://studenthealth.usc.edu/sexual-assault/" TargetMode="External"/><Relationship Id="rId47" Type="http://schemas.openxmlformats.org/officeDocument/2006/relationships/hyperlink" Target="https://diversity.usc.edu/" TargetMode="External"/><Relationship Id="rId50" Type="http://schemas.openxmlformats.org/officeDocument/2006/relationships/hyperlink" Target="http://dps.usc.edu/"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ityplanning.lacity.org" TargetMode="External"/><Relationship Id="rId29" Type="http://schemas.openxmlformats.org/officeDocument/2006/relationships/hyperlink" Target="mailto:blackboard@usc.edu" TargetMode="External"/><Relationship Id="rId11" Type="http://schemas.openxmlformats.org/officeDocument/2006/relationships/footer" Target="footer2.xml"/><Relationship Id="rId24" Type="http://schemas.openxmlformats.org/officeDocument/2006/relationships/hyperlink" Target="https://www.youtube.com/watch?v=7ZM9X2wJ7EY" TargetMode="External"/><Relationship Id="rId32" Type="http://schemas.openxmlformats.org/officeDocument/2006/relationships/hyperlink" Target="https://policy.usc.edu/scampus-part-b/" TargetMode="External"/><Relationship Id="rId37" Type="http://schemas.openxmlformats.org/officeDocument/2006/relationships/hyperlink" Target="mailto:osasfrontdesk@usc.edu" TargetMode="External"/><Relationship Id="rId40" Type="http://schemas.openxmlformats.org/officeDocument/2006/relationships/hyperlink" Target="https://studenthealth.usc.edu/counseling/" TargetMode="External"/><Relationship Id="rId45" Type="http://schemas.openxmlformats.org/officeDocument/2006/relationships/hyperlink" Target="http://osas.usc.edu/" TargetMode="External"/><Relationship Id="rId53" Type="http://schemas.openxmlformats.org/officeDocument/2006/relationships/hyperlink" Target="http://chan.usc.edu/otfp"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cityplanning.lacity.org" TargetMode="External"/><Relationship Id="rId22" Type="http://schemas.openxmlformats.org/officeDocument/2006/relationships/hyperlink" Target="https://www.youtube.com/watch?v=lBeNFKmNY9Y&amp;t=1s" TargetMode="External"/><Relationship Id="rId27" Type="http://schemas.openxmlformats.org/officeDocument/2006/relationships/hyperlink" Target="https://itservices.usc.edu/blackboard/" TargetMode="External"/><Relationship Id="rId30" Type="http://schemas.openxmlformats.org/officeDocument/2006/relationships/hyperlink" Target="https://itservices.usc.edu/contact/" TargetMode="External"/><Relationship Id="rId35" Type="http://schemas.openxmlformats.org/officeDocument/2006/relationships/hyperlink" Target="https://policy.usc.edu/wp-content/uploads/2021/08/SCampus-Part-B-Student-Conduct-Code.pdf" TargetMode="External"/><Relationship Id="rId43" Type="http://schemas.openxmlformats.org/officeDocument/2006/relationships/hyperlink" Target="https://eeotix.usc.edu/" TargetMode="External"/><Relationship Id="rId48" Type="http://schemas.openxmlformats.org/officeDocument/2006/relationships/hyperlink" Target="http://dps.usc.edu/" TargetMode="External"/><Relationship Id="rId56" Type="http://schemas.openxmlformats.org/officeDocument/2006/relationships/footer" Target="footer4.xml"/><Relationship Id="rId8" Type="http://schemas.openxmlformats.org/officeDocument/2006/relationships/hyperlink" Target="mailto:spivack@usc.edu" TargetMode="External"/><Relationship Id="rId51" Type="http://schemas.openxmlformats.org/officeDocument/2006/relationships/hyperlink" Target="http://ombuds.usc.edu/" TargetMode="External"/><Relationship Id="rId3" Type="http://schemas.openxmlformats.org/officeDocument/2006/relationships/settings" Target="settings.xml"/><Relationship Id="rId12" Type="http://schemas.openxmlformats.org/officeDocument/2006/relationships/hyperlink" Target="mailto:spivack@usc.edu" TargetMode="External"/><Relationship Id="rId17" Type="http://schemas.openxmlformats.org/officeDocument/2006/relationships/hyperlink" Target="http://cityplanning.lacity.org" TargetMode="External"/><Relationship Id="rId25" Type="http://schemas.openxmlformats.org/officeDocument/2006/relationships/hyperlink" Target="https://blackboardhelp.usc.edu/third-party-tool-perusall/" TargetMode="External"/><Relationship Id="rId33" Type="http://schemas.openxmlformats.org/officeDocument/2006/relationships/hyperlink" Target="https://policy.usc.edu/research-and-scholarship-misconduct/" TargetMode="External"/><Relationship Id="rId38" Type="http://schemas.openxmlformats.org/officeDocument/2006/relationships/hyperlink" Target="https://osas.usc.edu/" TargetMode="External"/><Relationship Id="rId46" Type="http://schemas.openxmlformats.org/officeDocument/2006/relationships/hyperlink" Target="https://campussupport.usc.edu/" TargetMode="External"/><Relationship Id="rId20" Type="http://schemas.openxmlformats.org/officeDocument/2006/relationships/hyperlink" Target="https://www.youtube.com/watch?v=7ZM9X2wJ7EY&amp;feature=youtu.be" TargetMode="External"/><Relationship Id="rId41" Type="http://schemas.openxmlformats.org/officeDocument/2006/relationships/hyperlink" Target="http://www.suicidepreventionlifeline.org/"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ityplanning.lacity.org" TargetMode="External"/><Relationship Id="rId23" Type="http://schemas.openxmlformats.org/officeDocument/2006/relationships/hyperlink" Target="https://keepteaching.usc.edu/students/student-toolkit/classroom/zoom/" TargetMode="External"/><Relationship Id="rId28" Type="http://schemas.openxmlformats.org/officeDocument/2006/relationships/hyperlink" Target="https://blackboardhelp.usc.edu/" TargetMode="External"/><Relationship Id="rId36" Type="http://schemas.openxmlformats.org/officeDocument/2006/relationships/hyperlink" Target="http://osas.usc.edu/" TargetMode="External"/><Relationship Id="rId49" Type="http://schemas.openxmlformats.org/officeDocument/2006/relationships/hyperlink" Target="http://emergency.usc.edu/"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itservices.usc.edu/students/" TargetMode="External"/><Relationship Id="rId44" Type="http://schemas.openxmlformats.org/officeDocument/2006/relationships/hyperlink" Target="https://usc-advocate.symplicity.com/care_report/" TargetMode="External"/><Relationship Id="rId52" Type="http://schemas.openxmlformats.org/officeDocument/2006/relationships/hyperlink" Target="mailto:otfp@med.usc.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Grading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DC-48F0-95FF-47935407AE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DC-48F0-95FF-47935407AE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DC-48F0-95FF-47935407AE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DC-48F0-95FF-47935407AE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CDC-48F0-95FF-47935407AE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CDC-48F0-95FF-47935407AEF2}"/>
              </c:ext>
            </c:extLst>
          </c:dPt>
          <c:cat>
            <c:strRef>
              <c:f>Sheet1!$A$2:$A$7</c:f>
              <c:strCache>
                <c:ptCount val="6"/>
                <c:pt idx="0">
                  <c:v>In Class Discussion 10%</c:v>
                </c:pt>
                <c:pt idx="1">
                  <c:v>Written Assignments 10%</c:v>
                </c:pt>
                <c:pt idx="2">
                  <c:v>Midterm Project (Team) 20%</c:v>
                </c:pt>
                <c:pt idx="3">
                  <c:v>Final Project (Team) 20%</c:v>
                </c:pt>
                <c:pt idx="4">
                  <c:v>Final Paper 20%</c:v>
                </c:pt>
                <c:pt idx="5">
                  <c:v>Final Examination 20%</c:v>
                </c:pt>
              </c:strCache>
            </c:strRef>
          </c:cat>
          <c:val>
            <c:numRef>
              <c:f>Sheet1!$B$2:$B$7</c:f>
              <c:numCache>
                <c:formatCode>0%</c:formatCode>
                <c:ptCount val="6"/>
                <c:pt idx="0">
                  <c:v>0.1</c:v>
                </c:pt>
                <c:pt idx="1">
                  <c:v>0.1</c:v>
                </c:pt>
                <c:pt idx="2">
                  <c:v>0.2</c:v>
                </c:pt>
                <c:pt idx="3">
                  <c:v>0.2</c:v>
                </c:pt>
                <c:pt idx="4">
                  <c:v>0.2</c:v>
                </c:pt>
                <c:pt idx="5">
                  <c:v>0.2</c:v>
                </c:pt>
              </c:numCache>
            </c:numRef>
          </c:val>
          <c:extLst>
            <c:ext xmlns:c16="http://schemas.microsoft.com/office/drawing/2014/chart" uri="{C3380CC4-5D6E-409C-BE32-E72D297353CC}">
              <c16:uniqueId val="{0000000C-BCDC-48F0-95FF-47935407AEF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 Time Faculty</dc:creator>
  <cp:lastModifiedBy>Donald Spivack</cp:lastModifiedBy>
  <cp:revision>4</cp:revision>
  <dcterms:created xsi:type="dcterms:W3CDTF">2022-10-27T22:23:00Z</dcterms:created>
  <dcterms:modified xsi:type="dcterms:W3CDTF">2022-11-02T13:57:00Z</dcterms:modified>
</cp:coreProperties>
</file>