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3CB9" w14:textId="52633E8D" w:rsidR="00996219" w:rsidRDefault="0019486C" w:rsidP="00996219">
      <w:pPr>
        <w:pStyle w:val="Standard"/>
        <w:rPr>
          <w:b/>
          <w:bCs/>
        </w:rPr>
      </w:pPr>
      <w:r w:rsidRPr="00B03AB6">
        <w:rPr>
          <w:b/>
          <w:bCs/>
        </w:rPr>
        <w:t>ECON 369 – MAYMESTER 20</w:t>
      </w:r>
      <w:r w:rsidR="00F5333B">
        <w:rPr>
          <w:b/>
          <w:bCs/>
        </w:rPr>
        <w:t>2</w:t>
      </w:r>
      <w:r w:rsidR="00802210">
        <w:rPr>
          <w:b/>
          <w:bCs/>
        </w:rPr>
        <w:t>3</w:t>
      </w:r>
      <w:r w:rsidR="00B03AB6">
        <w:rPr>
          <w:b/>
          <w:bCs/>
        </w:rPr>
        <w:t xml:space="preserve"> - </w:t>
      </w:r>
      <w:r w:rsidR="00996219">
        <w:rPr>
          <w:b/>
          <w:bCs/>
        </w:rPr>
        <w:t>ECONOMICS OF EUROPEAN INTEGRATION</w:t>
      </w:r>
      <w:r w:rsidR="00996219">
        <w:rPr>
          <w:b/>
          <w:bCs/>
        </w:rPr>
        <w:tab/>
      </w:r>
    </w:p>
    <w:p w14:paraId="66255959" w14:textId="77777777" w:rsidR="00996219" w:rsidRDefault="00996219" w:rsidP="00996219">
      <w:pPr>
        <w:pStyle w:val="Standard"/>
      </w:pPr>
    </w:p>
    <w:p w14:paraId="41E1AADC" w14:textId="77777777" w:rsidR="005B1D06" w:rsidRDefault="005B1D06" w:rsidP="00996219">
      <w:pPr>
        <w:pStyle w:val="Standard"/>
      </w:pPr>
      <w:r>
        <w:t>Professor: Lodovico Pizzati</w:t>
      </w:r>
      <w:r>
        <w:tab/>
      </w:r>
      <w:r w:rsidR="00996219">
        <w:t xml:space="preserve">Office Hours: </w:t>
      </w:r>
      <w:r w:rsidR="006C32E4">
        <w:t>by appointment</w:t>
      </w:r>
      <w:r>
        <w:tab/>
        <w:t>Email: pizzati@usc.edu</w:t>
      </w:r>
    </w:p>
    <w:p w14:paraId="0964999C" w14:textId="1CDD8A67" w:rsidR="00996219" w:rsidRDefault="00996219" w:rsidP="00996219">
      <w:pPr>
        <w:pStyle w:val="Standard"/>
      </w:pPr>
      <w:r>
        <w:t>Phone: (310) 848-0725</w:t>
      </w:r>
      <w:r w:rsidR="005B1D06">
        <w:tab/>
      </w:r>
      <w:r>
        <w:t xml:space="preserve">Class location: </w:t>
      </w:r>
      <w:r w:rsidR="00FA6436">
        <w:t>Conference 2</w:t>
      </w:r>
      <w:r>
        <w:t xml:space="preserve"> </w:t>
      </w:r>
      <w:r>
        <w:tab/>
      </w:r>
      <w:r>
        <w:tab/>
        <w:t xml:space="preserve">Class Meeting: </w:t>
      </w:r>
      <w:r w:rsidR="005B1D06">
        <w:t>5/1</w:t>
      </w:r>
      <w:r w:rsidR="00802210">
        <w:t>5</w:t>
      </w:r>
      <w:r w:rsidR="005B1D06">
        <w:t>-6/</w:t>
      </w:r>
      <w:r w:rsidR="00802210">
        <w:t>9</w:t>
      </w:r>
    </w:p>
    <w:p w14:paraId="7365A76C" w14:textId="77777777" w:rsidR="00996219" w:rsidRDefault="00996219" w:rsidP="00996219">
      <w:pPr>
        <w:pStyle w:val="Standard"/>
      </w:pPr>
    </w:p>
    <w:p w14:paraId="1DD4CB74" w14:textId="416C7F54" w:rsidR="00996219" w:rsidRDefault="00996219" w:rsidP="00996219">
      <w:pPr>
        <w:pStyle w:val="Standard"/>
      </w:pPr>
      <w:r>
        <w:rPr>
          <w:b/>
          <w:bCs/>
        </w:rPr>
        <w:t xml:space="preserve">GRADE: </w:t>
      </w:r>
      <w:r w:rsidR="0019486C">
        <w:t>Written Exam</w:t>
      </w:r>
      <w:r>
        <w:t xml:space="preserve"> (</w:t>
      </w:r>
      <w:r w:rsidR="005B1D06">
        <w:t>3</w:t>
      </w:r>
      <w:r>
        <w:t xml:space="preserve">0%), </w:t>
      </w:r>
      <w:r w:rsidR="0019486C">
        <w:t xml:space="preserve">Term </w:t>
      </w:r>
      <w:r>
        <w:t>Paper (</w:t>
      </w:r>
      <w:r w:rsidR="00FA6436">
        <w:t>3</w:t>
      </w:r>
      <w:r>
        <w:t>0%), Homework (</w:t>
      </w:r>
      <w:r w:rsidR="005B1D06">
        <w:t>3</w:t>
      </w:r>
      <w:r>
        <w:t>0%)</w:t>
      </w:r>
      <w:r w:rsidR="00FA6436">
        <w:t>, Participation (10%)</w:t>
      </w:r>
    </w:p>
    <w:p w14:paraId="078DE64E" w14:textId="77777777" w:rsidR="00996219" w:rsidRDefault="00996219" w:rsidP="00996219">
      <w:pPr>
        <w:pStyle w:val="Standard"/>
      </w:pPr>
    </w:p>
    <w:p w14:paraId="69C8E48C" w14:textId="77777777" w:rsidR="006C32E4" w:rsidRDefault="00996219" w:rsidP="006C32E4">
      <w:pPr>
        <w:pStyle w:val="Standard"/>
      </w:pPr>
      <w:r>
        <w:rPr>
          <w:b/>
          <w:bCs/>
        </w:rPr>
        <w:t xml:space="preserve">READING ASSIGNMENT: </w:t>
      </w:r>
      <w:r w:rsidR="006C32E4">
        <w:t>Richard Baldwin and Charles Wyplosz “The Economics of European Integration,” 2020, McGraw-Hill, 6</w:t>
      </w:r>
      <w:r w:rsidR="006C32E4" w:rsidRPr="00763EB6">
        <w:rPr>
          <w:vertAlign w:val="superscript"/>
        </w:rPr>
        <w:t>th</w:t>
      </w:r>
      <w:r w:rsidR="006C32E4">
        <w:t xml:space="preserve"> edition)</w:t>
      </w:r>
    </w:p>
    <w:p w14:paraId="5AF4C120" w14:textId="77777777" w:rsidR="00996219" w:rsidRDefault="00996219" w:rsidP="00996219">
      <w:pPr>
        <w:pStyle w:val="Standard"/>
      </w:pPr>
    </w:p>
    <w:p w14:paraId="7AA1C289" w14:textId="77777777" w:rsidR="00996219" w:rsidRDefault="00996219" w:rsidP="00996219">
      <w:pPr>
        <w:pStyle w:val="Standard"/>
        <w:jc w:val="both"/>
      </w:pPr>
      <w:r>
        <w:rPr>
          <w:b/>
          <w:bCs/>
        </w:rPr>
        <w:t>OBJECTIVE:</w:t>
      </w:r>
      <w:r>
        <w:t xml:space="preserve"> This course examines both microeconomic and macroeconomic policy issues pertaining to European integration. From a micro perspective, we look at trade liberalization and labor market integration, with particular focus on policy issues like the politics of agricultural price support and regional subsidies. From a macro perspective, we focus instead on the interaction of multiple fiscal policies with only one monetary policy. The emphasis here is on the challenges of policy coordination among independent political entities, starting from the aftermath of German unification (and the ramifications it had in a fixed exchange rate system) to the recent national debt crisis that followed the great recession.</w:t>
      </w:r>
    </w:p>
    <w:tbl>
      <w:tblPr>
        <w:tblStyle w:val="TableGrid"/>
        <w:tblW w:w="0" w:type="auto"/>
        <w:tblLook w:val="04A0" w:firstRow="1" w:lastRow="0" w:firstColumn="1" w:lastColumn="0" w:noHBand="0" w:noVBand="1"/>
      </w:tblPr>
      <w:tblGrid>
        <w:gridCol w:w="974"/>
        <w:gridCol w:w="1181"/>
        <w:gridCol w:w="3240"/>
        <w:gridCol w:w="3060"/>
        <w:gridCol w:w="895"/>
      </w:tblGrid>
      <w:tr w:rsidR="005B1D06" w14:paraId="712B2D55" w14:textId="77777777" w:rsidTr="00EE5EA0">
        <w:tc>
          <w:tcPr>
            <w:tcW w:w="974" w:type="dxa"/>
          </w:tcPr>
          <w:p w14:paraId="2AB100C6" w14:textId="77777777" w:rsidR="005B1D06" w:rsidRDefault="005B1D06" w:rsidP="005A41D0">
            <w:r>
              <w:t>Day</w:t>
            </w:r>
          </w:p>
        </w:tc>
        <w:tc>
          <w:tcPr>
            <w:tcW w:w="1181" w:type="dxa"/>
          </w:tcPr>
          <w:p w14:paraId="63778145" w14:textId="3C7CF3BF" w:rsidR="005B1D06" w:rsidRDefault="005B1D06" w:rsidP="005A41D0">
            <w:r>
              <w:t>Reading</w:t>
            </w:r>
          </w:p>
        </w:tc>
        <w:tc>
          <w:tcPr>
            <w:tcW w:w="3240" w:type="dxa"/>
          </w:tcPr>
          <w:p w14:paraId="7AA72FFF" w14:textId="77777777" w:rsidR="005B1D06" w:rsidRDefault="005B1D06" w:rsidP="005A41D0">
            <w:r>
              <w:t>Morning Speaker 9:30</w:t>
            </w:r>
          </w:p>
        </w:tc>
        <w:tc>
          <w:tcPr>
            <w:tcW w:w="3060" w:type="dxa"/>
          </w:tcPr>
          <w:p w14:paraId="7AE9341B" w14:textId="77777777" w:rsidR="005B1D06" w:rsidRDefault="005B1D06" w:rsidP="005A41D0">
            <w:r>
              <w:t>Afternoon Topic 2pm</w:t>
            </w:r>
          </w:p>
        </w:tc>
        <w:tc>
          <w:tcPr>
            <w:tcW w:w="895" w:type="dxa"/>
          </w:tcPr>
          <w:p w14:paraId="5F80F45B" w14:textId="528D1815" w:rsidR="005B1D06" w:rsidRDefault="003472BF" w:rsidP="005A41D0">
            <w:r>
              <w:t>Grade</w:t>
            </w:r>
          </w:p>
        </w:tc>
      </w:tr>
      <w:tr w:rsidR="00E902EA" w14:paraId="72B6B858" w14:textId="77777777" w:rsidTr="00EE5EA0">
        <w:tc>
          <w:tcPr>
            <w:tcW w:w="974" w:type="dxa"/>
            <w:shd w:val="clear" w:color="auto" w:fill="E2EFD9" w:themeFill="accent6" w:themeFillTint="33"/>
          </w:tcPr>
          <w:p w14:paraId="207713C3" w14:textId="59959CA1" w:rsidR="00E902EA" w:rsidRDefault="00E902EA" w:rsidP="00E902EA">
            <w:r>
              <w:t>May 15</w:t>
            </w:r>
          </w:p>
        </w:tc>
        <w:tc>
          <w:tcPr>
            <w:tcW w:w="1181" w:type="dxa"/>
          </w:tcPr>
          <w:p w14:paraId="133DD950" w14:textId="77777777" w:rsidR="00E902EA" w:rsidRDefault="00E902EA" w:rsidP="00E902EA"/>
        </w:tc>
        <w:tc>
          <w:tcPr>
            <w:tcW w:w="3240" w:type="dxa"/>
          </w:tcPr>
          <w:p w14:paraId="46C691C0" w14:textId="308E7D9B" w:rsidR="00E902EA" w:rsidRDefault="00E902EA" w:rsidP="00E902EA"/>
        </w:tc>
        <w:tc>
          <w:tcPr>
            <w:tcW w:w="3060" w:type="dxa"/>
          </w:tcPr>
          <w:p w14:paraId="4AD25BB9" w14:textId="3108E2BE" w:rsidR="00E902EA" w:rsidRDefault="00E902EA" w:rsidP="00E902EA">
            <w:r>
              <w:t>Arrival</w:t>
            </w:r>
          </w:p>
        </w:tc>
        <w:tc>
          <w:tcPr>
            <w:tcW w:w="895" w:type="dxa"/>
          </w:tcPr>
          <w:p w14:paraId="0315B468" w14:textId="7D9AA716" w:rsidR="00E902EA" w:rsidRDefault="00E902EA" w:rsidP="00E902EA"/>
        </w:tc>
      </w:tr>
      <w:tr w:rsidR="00E902EA" w14:paraId="093BC834" w14:textId="77777777" w:rsidTr="00EE5EA0">
        <w:tc>
          <w:tcPr>
            <w:tcW w:w="974" w:type="dxa"/>
            <w:shd w:val="clear" w:color="auto" w:fill="E2EFD9" w:themeFill="accent6" w:themeFillTint="33"/>
          </w:tcPr>
          <w:p w14:paraId="66CAFB82" w14:textId="26ABCF22" w:rsidR="00E902EA" w:rsidRDefault="00E902EA" w:rsidP="00E902EA">
            <w:r>
              <w:t>May 16</w:t>
            </w:r>
          </w:p>
        </w:tc>
        <w:tc>
          <w:tcPr>
            <w:tcW w:w="1181" w:type="dxa"/>
          </w:tcPr>
          <w:p w14:paraId="141F9E98" w14:textId="1F5D22BA" w:rsidR="00E902EA" w:rsidRDefault="00E902EA" w:rsidP="00E902EA">
            <w:r>
              <w:t>Ch 1, 2</w:t>
            </w:r>
          </w:p>
        </w:tc>
        <w:tc>
          <w:tcPr>
            <w:tcW w:w="3240" w:type="dxa"/>
          </w:tcPr>
          <w:p w14:paraId="1C13E412" w14:textId="083C2337" w:rsidR="00E902EA" w:rsidRDefault="00E902EA" w:rsidP="00E902EA">
            <w:r>
              <w:t>History of Belgium (Roppe)</w:t>
            </w:r>
          </w:p>
        </w:tc>
        <w:tc>
          <w:tcPr>
            <w:tcW w:w="3060" w:type="dxa"/>
          </w:tcPr>
          <w:p w14:paraId="42213884" w14:textId="410875DA" w:rsidR="00E902EA" w:rsidRDefault="00E902EA" w:rsidP="00E902EA">
            <w:r>
              <w:t>History of EU (Buyst)</w:t>
            </w:r>
          </w:p>
        </w:tc>
        <w:tc>
          <w:tcPr>
            <w:tcW w:w="895" w:type="dxa"/>
          </w:tcPr>
          <w:p w14:paraId="0F81FFB7" w14:textId="77777777" w:rsidR="00E902EA" w:rsidRDefault="00E902EA" w:rsidP="00E902EA"/>
        </w:tc>
      </w:tr>
      <w:tr w:rsidR="00E902EA" w14:paraId="4E05ACFC" w14:textId="77777777" w:rsidTr="00EE5EA0">
        <w:tc>
          <w:tcPr>
            <w:tcW w:w="974" w:type="dxa"/>
            <w:shd w:val="clear" w:color="auto" w:fill="E2EFD9" w:themeFill="accent6" w:themeFillTint="33"/>
          </w:tcPr>
          <w:p w14:paraId="557C399F" w14:textId="3DA2B87A" w:rsidR="00E902EA" w:rsidRDefault="00E902EA" w:rsidP="00E902EA">
            <w:r>
              <w:t>May 17</w:t>
            </w:r>
          </w:p>
        </w:tc>
        <w:tc>
          <w:tcPr>
            <w:tcW w:w="1181" w:type="dxa"/>
          </w:tcPr>
          <w:p w14:paraId="19BB7496" w14:textId="5AFE1BAF" w:rsidR="00E902EA" w:rsidRDefault="00E902EA" w:rsidP="00E902EA">
            <w:r>
              <w:t>Ch 3, 4</w:t>
            </w:r>
          </w:p>
        </w:tc>
        <w:tc>
          <w:tcPr>
            <w:tcW w:w="3240" w:type="dxa"/>
          </w:tcPr>
          <w:p w14:paraId="47746094" w14:textId="7F5D2341" w:rsidR="00E902EA" w:rsidRDefault="00E902EA" w:rsidP="00E902EA">
            <w:r>
              <w:t>EU Trade Policy (Van Mourik)</w:t>
            </w:r>
          </w:p>
        </w:tc>
        <w:tc>
          <w:tcPr>
            <w:tcW w:w="3060" w:type="dxa"/>
          </w:tcPr>
          <w:p w14:paraId="56A9EF8C" w14:textId="77027B69" w:rsidR="00E902EA" w:rsidRDefault="00E902EA" w:rsidP="00E902EA">
            <w:r>
              <w:t>EU Parliament (Brussels)</w:t>
            </w:r>
          </w:p>
        </w:tc>
        <w:tc>
          <w:tcPr>
            <w:tcW w:w="895" w:type="dxa"/>
          </w:tcPr>
          <w:p w14:paraId="5057A945" w14:textId="77777777" w:rsidR="00E902EA" w:rsidRDefault="00E902EA" w:rsidP="00E902EA"/>
        </w:tc>
      </w:tr>
      <w:tr w:rsidR="00E902EA" w14:paraId="2AAA5BA0" w14:textId="77777777" w:rsidTr="00EE5EA0">
        <w:tc>
          <w:tcPr>
            <w:tcW w:w="974" w:type="dxa"/>
            <w:shd w:val="clear" w:color="auto" w:fill="E2EFD9" w:themeFill="accent6" w:themeFillTint="33"/>
          </w:tcPr>
          <w:p w14:paraId="4ACA0F1F" w14:textId="62848E83" w:rsidR="00E902EA" w:rsidRDefault="00E902EA" w:rsidP="00E902EA">
            <w:r>
              <w:t>May 18</w:t>
            </w:r>
          </w:p>
        </w:tc>
        <w:tc>
          <w:tcPr>
            <w:tcW w:w="1181" w:type="dxa"/>
          </w:tcPr>
          <w:p w14:paraId="44B2EE5B" w14:textId="0F50BB40" w:rsidR="00E902EA" w:rsidRDefault="00E902EA" w:rsidP="00E902EA">
            <w:r>
              <w:t>Ch 5, 6</w:t>
            </w:r>
          </w:p>
        </w:tc>
        <w:tc>
          <w:tcPr>
            <w:tcW w:w="3240" w:type="dxa"/>
          </w:tcPr>
          <w:p w14:paraId="1F6EE796" w14:textId="65756A30" w:rsidR="00E902EA" w:rsidRDefault="00E902EA" w:rsidP="00E902EA">
            <w:r>
              <w:t>Micro Review (Pizzati)</w:t>
            </w:r>
          </w:p>
        </w:tc>
        <w:tc>
          <w:tcPr>
            <w:tcW w:w="3060" w:type="dxa"/>
          </w:tcPr>
          <w:p w14:paraId="7CB726C0" w14:textId="47251A0B" w:rsidR="00E902EA" w:rsidRDefault="00E902EA" w:rsidP="00E902EA"/>
        </w:tc>
        <w:tc>
          <w:tcPr>
            <w:tcW w:w="895" w:type="dxa"/>
          </w:tcPr>
          <w:p w14:paraId="19569BF9" w14:textId="77777777" w:rsidR="00E902EA" w:rsidRDefault="00E902EA" w:rsidP="00E902EA"/>
        </w:tc>
      </w:tr>
      <w:tr w:rsidR="00E902EA" w14:paraId="09696382" w14:textId="77777777" w:rsidTr="00EE5EA0">
        <w:tc>
          <w:tcPr>
            <w:tcW w:w="974" w:type="dxa"/>
            <w:shd w:val="clear" w:color="auto" w:fill="E2EFD9" w:themeFill="accent6" w:themeFillTint="33"/>
          </w:tcPr>
          <w:p w14:paraId="6489DD7E" w14:textId="4726A357" w:rsidR="00E902EA" w:rsidRDefault="00E902EA" w:rsidP="00E902EA">
            <w:r>
              <w:t>May 19</w:t>
            </w:r>
          </w:p>
        </w:tc>
        <w:tc>
          <w:tcPr>
            <w:tcW w:w="1181" w:type="dxa"/>
          </w:tcPr>
          <w:p w14:paraId="180318D9" w14:textId="7D152E85" w:rsidR="00E902EA" w:rsidRDefault="00E902EA" w:rsidP="00E902EA">
            <w:r>
              <w:t>Ch 9</w:t>
            </w:r>
          </w:p>
        </w:tc>
        <w:tc>
          <w:tcPr>
            <w:tcW w:w="3240" w:type="dxa"/>
          </w:tcPr>
          <w:p w14:paraId="49DCE9CA" w14:textId="7B61FF1A" w:rsidR="00E902EA" w:rsidRDefault="00E902EA" w:rsidP="00E902EA">
            <w:r>
              <w:t>C.A.P. (Van Mourik)</w:t>
            </w:r>
          </w:p>
        </w:tc>
        <w:tc>
          <w:tcPr>
            <w:tcW w:w="3060" w:type="dxa"/>
          </w:tcPr>
          <w:p w14:paraId="3B01C39F" w14:textId="3D147AB9" w:rsidR="00E902EA" w:rsidRDefault="00E902EA" w:rsidP="00E902EA"/>
        </w:tc>
        <w:tc>
          <w:tcPr>
            <w:tcW w:w="895" w:type="dxa"/>
          </w:tcPr>
          <w:p w14:paraId="4DBA916A" w14:textId="77777777" w:rsidR="00E902EA" w:rsidRDefault="00E902EA" w:rsidP="00E902EA">
            <w:r>
              <w:t>HW 1</w:t>
            </w:r>
          </w:p>
        </w:tc>
      </w:tr>
      <w:tr w:rsidR="00E902EA" w14:paraId="63A115E3" w14:textId="77777777" w:rsidTr="00EE5EA0">
        <w:tc>
          <w:tcPr>
            <w:tcW w:w="974" w:type="dxa"/>
            <w:shd w:val="clear" w:color="auto" w:fill="D9E2F3" w:themeFill="accent5" w:themeFillTint="33"/>
          </w:tcPr>
          <w:p w14:paraId="2B1B1718" w14:textId="4C969111" w:rsidR="00E902EA" w:rsidRDefault="00E902EA" w:rsidP="00E902EA">
            <w:r>
              <w:t>May 22</w:t>
            </w:r>
          </w:p>
        </w:tc>
        <w:tc>
          <w:tcPr>
            <w:tcW w:w="1181" w:type="dxa"/>
          </w:tcPr>
          <w:p w14:paraId="4951B548" w14:textId="64B80A98" w:rsidR="00E902EA" w:rsidRDefault="00E902EA" w:rsidP="00E902EA">
            <w:r>
              <w:t>Ch 13, 14</w:t>
            </w:r>
          </w:p>
        </w:tc>
        <w:tc>
          <w:tcPr>
            <w:tcW w:w="3240" w:type="dxa"/>
          </w:tcPr>
          <w:p w14:paraId="5EA46285" w14:textId="3E04FAD0" w:rsidR="00E902EA" w:rsidRDefault="00E902EA" w:rsidP="00E902EA">
            <w:r>
              <w:t>Macro Review (Pizzati)</w:t>
            </w:r>
          </w:p>
        </w:tc>
        <w:tc>
          <w:tcPr>
            <w:tcW w:w="3060" w:type="dxa"/>
          </w:tcPr>
          <w:p w14:paraId="63648093" w14:textId="2D5B208A" w:rsidR="00E902EA" w:rsidRDefault="00E902EA" w:rsidP="00E902EA">
            <w:r>
              <w:t>EMU (Pizzati)</w:t>
            </w:r>
          </w:p>
        </w:tc>
        <w:tc>
          <w:tcPr>
            <w:tcW w:w="895" w:type="dxa"/>
          </w:tcPr>
          <w:p w14:paraId="21A575B3" w14:textId="77777777" w:rsidR="00E902EA" w:rsidRDefault="00E902EA" w:rsidP="00E902EA"/>
        </w:tc>
      </w:tr>
      <w:tr w:rsidR="00E902EA" w14:paraId="3E3AB180" w14:textId="77777777" w:rsidTr="00EE5EA0">
        <w:tc>
          <w:tcPr>
            <w:tcW w:w="974" w:type="dxa"/>
            <w:shd w:val="clear" w:color="auto" w:fill="D9E2F3" w:themeFill="accent5" w:themeFillTint="33"/>
          </w:tcPr>
          <w:p w14:paraId="35D198B5" w14:textId="34F13C66" w:rsidR="00E902EA" w:rsidRDefault="00E902EA" w:rsidP="00E902EA">
            <w:r>
              <w:t>May 23</w:t>
            </w:r>
          </w:p>
        </w:tc>
        <w:tc>
          <w:tcPr>
            <w:tcW w:w="1181" w:type="dxa"/>
          </w:tcPr>
          <w:p w14:paraId="44DC192B" w14:textId="7EBD3A1D" w:rsidR="00E902EA" w:rsidRDefault="00E902EA" w:rsidP="00E902EA">
            <w:r>
              <w:t>Ch 15, 16</w:t>
            </w:r>
          </w:p>
        </w:tc>
        <w:tc>
          <w:tcPr>
            <w:tcW w:w="3240" w:type="dxa"/>
          </w:tcPr>
          <w:p w14:paraId="4ABE500D" w14:textId="40D59033" w:rsidR="00E902EA" w:rsidRDefault="00E902EA" w:rsidP="00E902EA">
            <w:r>
              <w:t>Currency Areas (Van Mourik)</w:t>
            </w:r>
          </w:p>
        </w:tc>
        <w:tc>
          <w:tcPr>
            <w:tcW w:w="3060" w:type="dxa"/>
          </w:tcPr>
          <w:p w14:paraId="0211DCDE" w14:textId="3BCC99DB" w:rsidR="00E902EA" w:rsidRDefault="00E902EA" w:rsidP="00E902EA">
            <w:r>
              <w:t>EU Commission (Brussels)</w:t>
            </w:r>
          </w:p>
        </w:tc>
        <w:tc>
          <w:tcPr>
            <w:tcW w:w="895" w:type="dxa"/>
          </w:tcPr>
          <w:p w14:paraId="0252D179" w14:textId="77777777" w:rsidR="00E902EA" w:rsidRDefault="00E902EA" w:rsidP="00E902EA"/>
        </w:tc>
      </w:tr>
      <w:tr w:rsidR="00E902EA" w14:paraId="2807ABC9" w14:textId="77777777" w:rsidTr="00EE5EA0">
        <w:tc>
          <w:tcPr>
            <w:tcW w:w="974" w:type="dxa"/>
            <w:shd w:val="clear" w:color="auto" w:fill="D9E2F3" w:themeFill="accent5" w:themeFillTint="33"/>
          </w:tcPr>
          <w:p w14:paraId="6CB86238" w14:textId="0FD15CBF" w:rsidR="00E902EA" w:rsidRDefault="00E902EA" w:rsidP="00E902EA">
            <w:r>
              <w:t>May 24</w:t>
            </w:r>
          </w:p>
        </w:tc>
        <w:tc>
          <w:tcPr>
            <w:tcW w:w="1181" w:type="dxa"/>
          </w:tcPr>
          <w:p w14:paraId="789CF806" w14:textId="209FCAF1" w:rsidR="00E902EA" w:rsidRDefault="00E902EA" w:rsidP="00E902EA"/>
        </w:tc>
        <w:tc>
          <w:tcPr>
            <w:tcW w:w="3240" w:type="dxa"/>
          </w:tcPr>
          <w:p w14:paraId="38E3FDC9" w14:textId="5557118E" w:rsidR="00E902EA" w:rsidRDefault="00E902EA" w:rsidP="00E902EA">
            <w:r>
              <w:t>Frankfurt Day 1</w:t>
            </w:r>
          </w:p>
        </w:tc>
        <w:tc>
          <w:tcPr>
            <w:tcW w:w="3060" w:type="dxa"/>
          </w:tcPr>
          <w:p w14:paraId="1D8BC863" w14:textId="08494F67" w:rsidR="00E902EA" w:rsidRDefault="00E902EA" w:rsidP="00E902EA">
            <w:r>
              <w:t>European Central Bank</w:t>
            </w:r>
          </w:p>
        </w:tc>
        <w:tc>
          <w:tcPr>
            <w:tcW w:w="895" w:type="dxa"/>
          </w:tcPr>
          <w:p w14:paraId="16933291" w14:textId="77777777" w:rsidR="00E902EA" w:rsidRDefault="00E902EA" w:rsidP="00E902EA"/>
        </w:tc>
      </w:tr>
      <w:tr w:rsidR="00E902EA" w14:paraId="5B22B4D1" w14:textId="77777777" w:rsidTr="00EE5EA0">
        <w:tc>
          <w:tcPr>
            <w:tcW w:w="974" w:type="dxa"/>
            <w:shd w:val="clear" w:color="auto" w:fill="D9E2F3" w:themeFill="accent5" w:themeFillTint="33"/>
          </w:tcPr>
          <w:p w14:paraId="4955FFF5" w14:textId="3CE067FE" w:rsidR="00E902EA" w:rsidRDefault="00E902EA" w:rsidP="00E902EA">
            <w:r>
              <w:t>May 25</w:t>
            </w:r>
          </w:p>
        </w:tc>
        <w:tc>
          <w:tcPr>
            <w:tcW w:w="1181" w:type="dxa"/>
          </w:tcPr>
          <w:p w14:paraId="03492DDA" w14:textId="7C6D15BC" w:rsidR="00E902EA" w:rsidRDefault="00E902EA" w:rsidP="00E902EA"/>
        </w:tc>
        <w:tc>
          <w:tcPr>
            <w:tcW w:w="3240" w:type="dxa"/>
          </w:tcPr>
          <w:p w14:paraId="2970C17D" w14:textId="7F77DB96" w:rsidR="00E902EA" w:rsidRDefault="00E902EA" w:rsidP="00E902EA">
            <w:r>
              <w:t>Cologne Day 2</w:t>
            </w:r>
          </w:p>
        </w:tc>
        <w:tc>
          <w:tcPr>
            <w:tcW w:w="3060" w:type="dxa"/>
          </w:tcPr>
          <w:p w14:paraId="65BBA237" w14:textId="342FFA09" w:rsidR="00E902EA" w:rsidRDefault="00E902EA" w:rsidP="00E902EA">
            <w:r>
              <w:t>European Space Agency</w:t>
            </w:r>
          </w:p>
        </w:tc>
        <w:tc>
          <w:tcPr>
            <w:tcW w:w="895" w:type="dxa"/>
          </w:tcPr>
          <w:p w14:paraId="6A4B0599" w14:textId="77777777" w:rsidR="00E902EA" w:rsidRDefault="00E902EA" w:rsidP="00E902EA"/>
        </w:tc>
      </w:tr>
      <w:tr w:rsidR="00E902EA" w14:paraId="25E02555" w14:textId="77777777" w:rsidTr="00EE5EA0">
        <w:tc>
          <w:tcPr>
            <w:tcW w:w="974" w:type="dxa"/>
            <w:shd w:val="clear" w:color="auto" w:fill="D9E2F3" w:themeFill="accent5" w:themeFillTint="33"/>
          </w:tcPr>
          <w:p w14:paraId="5D7FA7E4" w14:textId="5907338E" w:rsidR="00E902EA" w:rsidRDefault="00E902EA" w:rsidP="00E902EA">
            <w:r>
              <w:t>May 26</w:t>
            </w:r>
          </w:p>
        </w:tc>
        <w:tc>
          <w:tcPr>
            <w:tcW w:w="1181" w:type="dxa"/>
          </w:tcPr>
          <w:p w14:paraId="0558BA3C" w14:textId="1A79F2E8" w:rsidR="00E902EA" w:rsidRDefault="00E902EA" w:rsidP="00E902EA">
            <w:r>
              <w:t>Ch 17</w:t>
            </w:r>
          </w:p>
        </w:tc>
        <w:tc>
          <w:tcPr>
            <w:tcW w:w="3240" w:type="dxa"/>
          </w:tcPr>
          <w:p w14:paraId="37ED528F" w14:textId="0659C62E" w:rsidR="00E902EA" w:rsidRDefault="00E902EA" w:rsidP="00E902EA">
            <w:r>
              <w:t>Fiscal Policy (Pizzati)</w:t>
            </w:r>
          </w:p>
        </w:tc>
        <w:tc>
          <w:tcPr>
            <w:tcW w:w="3060" w:type="dxa"/>
          </w:tcPr>
          <w:p w14:paraId="26850BB9" w14:textId="54C1C842" w:rsidR="00E902EA" w:rsidRDefault="00E902EA" w:rsidP="00E902EA"/>
        </w:tc>
        <w:tc>
          <w:tcPr>
            <w:tcW w:w="895" w:type="dxa"/>
          </w:tcPr>
          <w:p w14:paraId="591F6E87" w14:textId="5D3F5397" w:rsidR="00E902EA" w:rsidRDefault="00E902EA" w:rsidP="00E902EA">
            <w:r>
              <w:t>HW 2</w:t>
            </w:r>
          </w:p>
        </w:tc>
      </w:tr>
      <w:tr w:rsidR="00E902EA" w14:paraId="5E92AED6" w14:textId="77777777" w:rsidTr="00EE5EA0">
        <w:tc>
          <w:tcPr>
            <w:tcW w:w="974" w:type="dxa"/>
            <w:shd w:val="clear" w:color="auto" w:fill="FFF2CC" w:themeFill="accent4" w:themeFillTint="33"/>
          </w:tcPr>
          <w:p w14:paraId="23050420" w14:textId="77C43BCB" w:rsidR="00E902EA" w:rsidRDefault="00E902EA" w:rsidP="00E902EA">
            <w:r>
              <w:t>May 29</w:t>
            </w:r>
          </w:p>
        </w:tc>
        <w:tc>
          <w:tcPr>
            <w:tcW w:w="1181" w:type="dxa"/>
          </w:tcPr>
          <w:p w14:paraId="127BF5BA" w14:textId="79EA9D2F" w:rsidR="00E902EA" w:rsidRDefault="00E902EA" w:rsidP="00E902EA">
            <w:r>
              <w:t>Ch 7, 8</w:t>
            </w:r>
          </w:p>
        </w:tc>
        <w:tc>
          <w:tcPr>
            <w:tcW w:w="3240" w:type="dxa"/>
          </w:tcPr>
          <w:p w14:paraId="388E9997" w14:textId="1D2C7404" w:rsidR="00E902EA" w:rsidRDefault="00E902EA" w:rsidP="00E902EA">
            <w:r>
              <w:t>Labor Market (Pizzati)</w:t>
            </w:r>
          </w:p>
        </w:tc>
        <w:tc>
          <w:tcPr>
            <w:tcW w:w="3060" w:type="dxa"/>
          </w:tcPr>
          <w:p w14:paraId="51A71876" w14:textId="71BA4413" w:rsidR="00E902EA" w:rsidRDefault="00E902EA" w:rsidP="00E902EA">
            <w:r>
              <w:t>US Chamb Comm (Brussels)</w:t>
            </w:r>
          </w:p>
        </w:tc>
        <w:tc>
          <w:tcPr>
            <w:tcW w:w="895" w:type="dxa"/>
          </w:tcPr>
          <w:p w14:paraId="12624235" w14:textId="77777777" w:rsidR="00E902EA" w:rsidRDefault="00E902EA" w:rsidP="00E902EA"/>
        </w:tc>
      </w:tr>
      <w:tr w:rsidR="00E902EA" w14:paraId="62B0D9B7" w14:textId="77777777" w:rsidTr="00EE5EA0">
        <w:tc>
          <w:tcPr>
            <w:tcW w:w="974" w:type="dxa"/>
            <w:shd w:val="clear" w:color="auto" w:fill="FFF2CC" w:themeFill="accent4" w:themeFillTint="33"/>
          </w:tcPr>
          <w:p w14:paraId="3C4A41CD" w14:textId="52FC5CDD" w:rsidR="00E902EA" w:rsidRDefault="00E902EA" w:rsidP="00E902EA">
            <w:r>
              <w:t>May 30</w:t>
            </w:r>
          </w:p>
        </w:tc>
        <w:tc>
          <w:tcPr>
            <w:tcW w:w="1181" w:type="dxa"/>
          </w:tcPr>
          <w:p w14:paraId="07CB2B32" w14:textId="4F82E6D2" w:rsidR="00E902EA" w:rsidRDefault="00E902EA" w:rsidP="00E902EA"/>
        </w:tc>
        <w:tc>
          <w:tcPr>
            <w:tcW w:w="3240" w:type="dxa"/>
          </w:tcPr>
          <w:p w14:paraId="1844C8DA" w14:textId="459A782F" w:rsidR="00E902EA" w:rsidRDefault="00E902EA" w:rsidP="00E902EA">
            <w:r>
              <w:t>Luxembourg Day 1</w:t>
            </w:r>
          </w:p>
        </w:tc>
        <w:tc>
          <w:tcPr>
            <w:tcW w:w="3060" w:type="dxa"/>
          </w:tcPr>
          <w:p w14:paraId="21DA02B4" w14:textId="0F3E4BCB" w:rsidR="00E902EA" w:rsidRDefault="00E902EA" w:rsidP="00E902EA">
            <w:r>
              <w:t>ESM and EIB</w:t>
            </w:r>
          </w:p>
        </w:tc>
        <w:tc>
          <w:tcPr>
            <w:tcW w:w="895" w:type="dxa"/>
          </w:tcPr>
          <w:p w14:paraId="43A66D03" w14:textId="77777777" w:rsidR="00E902EA" w:rsidRDefault="00E902EA" w:rsidP="00E902EA"/>
        </w:tc>
      </w:tr>
      <w:tr w:rsidR="00E902EA" w14:paraId="485A8350" w14:textId="77777777" w:rsidTr="00EE5EA0">
        <w:tc>
          <w:tcPr>
            <w:tcW w:w="974" w:type="dxa"/>
            <w:shd w:val="clear" w:color="auto" w:fill="FFF2CC" w:themeFill="accent4" w:themeFillTint="33"/>
          </w:tcPr>
          <w:p w14:paraId="359D2237" w14:textId="4EF9F52C" w:rsidR="00E902EA" w:rsidRDefault="00E902EA" w:rsidP="00E902EA">
            <w:r>
              <w:t>May 31</w:t>
            </w:r>
          </w:p>
        </w:tc>
        <w:tc>
          <w:tcPr>
            <w:tcW w:w="1181" w:type="dxa"/>
          </w:tcPr>
          <w:p w14:paraId="68365E90" w14:textId="55B4E4E5" w:rsidR="00E902EA" w:rsidRDefault="00E902EA" w:rsidP="00E902EA"/>
        </w:tc>
        <w:tc>
          <w:tcPr>
            <w:tcW w:w="3240" w:type="dxa"/>
          </w:tcPr>
          <w:p w14:paraId="08D69834" w14:textId="77F530E2" w:rsidR="00E902EA" w:rsidRDefault="00E902EA" w:rsidP="00E902EA">
            <w:r>
              <w:t>Luxembourg Day 2</w:t>
            </w:r>
          </w:p>
        </w:tc>
        <w:tc>
          <w:tcPr>
            <w:tcW w:w="3060" w:type="dxa"/>
          </w:tcPr>
          <w:p w14:paraId="2B99A6DC" w14:textId="7265E17C" w:rsidR="00E902EA" w:rsidRDefault="00E902EA" w:rsidP="00E902EA">
            <w:r>
              <w:t>Eurostat and Lux Finance</w:t>
            </w:r>
          </w:p>
        </w:tc>
        <w:tc>
          <w:tcPr>
            <w:tcW w:w="895" w:type="dxa"/>
          </w:tcPr>
          <w:p w14:paraId="40A30097" w14:textId="77777777" w:rsidR="00E902EA" w:rsidRDefault="00E902EA" w:rsidP="00E902EA"/>
        </w:tc>
      </w:tr>
      <w:tr w:rsidR="00E902EA" w14:paraId="0F6C5F6F" w14:textId="77777777" w:rsidTr="00EE5EA0">
        <w:tc>
          <w:tcPr>
            <w:tcW w:w="974" w:type="dxa"/>
            <w:shd w:val="clear" w:color="auto" w:fill="FFF2CC" w:themeFill="accent4" w:themeFillTint="33"/>
          </w:tcPr>
          <w:p w14:paraId="536C6176" w14:textId="2CFF24FD" w:rsidR="00E902EA" w:rsidRDefault="00E902EA" w:rsidP="00E902EA">
            <w:r>
              <w:t>June 1</w:t>
            </w:r>
          </w:p>
        </w:tc>
        <w:tc>
          <w:tcPr>
            <w:tcW w:w="1181" w:type="dxa"/>
          </w:tcPr>
          <w:p w14:paraId="7FE3DE0E" w14:textId="663BF27B" w:rsidR="00E902EA" w:rsidRDefault="00E902EA" w:rsidP="00E902EA">
            <w:r>
              <w:t>Ch 10</w:t>
            </w:r>
          </w:p>
        </w:tc>
        <w:tc>
          <w:tcPr>
            <w:tcW w:w="3240" w:type="dxa"/>
          </w:tcPr>
          <w:p w14:paraId="63CAB865" w14:textId="37D30933" w:rsidR="00E902EA" w:rsidRDefault="00E902EA" w:rsidP="00E902EA">
            <w:r>
              <w:t>Economic Geography (Pizzati)</w:t>
            </w:r>
          </w:p>
        </w:tc>
        <w:tc>
          <w:tcPr>
            <w:tcW w:w="3060" w:type="dxa"/>
          </w:tcPr>
          <w:p w14:paraId="7310D786" w14:textId="536F18E1" w:rsidR="00E902EA" w:rsidRDefault="00E902EA" w:rsidP="00E902EA">
            <w:r>
              <w:t>Affinity and Trade (Sels)</w:t>
            </w:r>
          </w:p>
        </w:tc>
        <w:tc>
          <w:tcPr>
            <w:tcW w:w="895" w:type="dxa"/>
          </w:tcPr>
          <w:p w14:paraId="682931E7" w14:textId="77777777" w:rsidR="00E902EA" w:rsidRDefault="00E902EA" w:rsidP="00E902EA"/>
        </w:tc>
      </w:tr>
      <w:tr w:rsidR="00E902EA" w14:paraId="1EE8962E" w14:textId="77777777" w:rsidTr="00EE5EA0">
        <w:tc>
          <w:tcPr>
            <w:tcW w:w="974" w:type="dxa"/>
            <w:shd w:val="clear" w:color="auto" w:fill="FFF2CC" w:themeFill="accent4" w:themeFillTint="33"/>
          </w:tcPr>
          <w:p w14:paraId="4B95EA1C" w14:textId="0F38032E" w:rsidR="00E902EA" w:rsidRDefault="00E902EA" w:rsidP="00E902EA">
            <w:r>
              <w:t>June 2</w:t>
            </w:r>
          </w:p>
        </w:tc>
        <w:tc>
          <w:tcPr>
            <w:tcW w:w="1181" w:type="dxa"/>
          </w:tcPr>
          <w:p w14:paraId="51430445" w14:textId="7B0B7DC9" w:rsidR="00E902EA" w:rsidRDefault="00E902EA" w:rsidP="00E902EA">
            <w:r>
              <w:t>Ch 11, 12</w:t>
            </w:r>
          </w:p>
        </w:tc>
        <w:tc>
          <w:tcPr>
            <w:tcW w:w="3240" w:type="dxa"/>
          </w:tcPr>
          <w:p w14:paraId="1307AB94" w14:textId="2AF13250" w:rsidR="00E902EA" w:rsidRDefault="00E902EA" w:rsidP="00E902EA">
            <w:r>
              <w:t>Trade Policy (Pizzati)</w:t>
            </w:r>
          </w:p>
        </w:tc>
        <w:tc>
          <w:tcPr>
            <w:tcW w:w="3060" w:type="dxa"/>
          </w:tcPr>
          <w:p w14:paraId="284DFE72" w14:textId="47423EC6" w:rsidR="00E902EA" w:rsidRDefault="00E902EA" w:rsidP="00E902EA"/>
        </w:tc>
        <w:tc>
          <w:tcPr>
            <w:tcW w:w="895" w:type="dxa"/>
          </w:tcPr>
          <w:p w14:paraId="53271F4C" w14:textId="77777777" w:rsidR="00E902EA" w:rsidRDefault="00E902EA" w:rsidP="00E902EA">
            <w:r>
              <w:t>HW 3</w:t>
            </w:r>
          </w:p>
        </w:tc>
      </w:tr>
      <w:tr w:rsidR="00E902EA" w14:paraId="6625B044" w14:textId="77777777" w:rsidTr="00EE5EA0">
        <w:tc>
          <w:tcPr>
            <w:tcW w:w="974" w:type="dxa"/>
            <w:shd w:val="clear" w:color="auto" w:fill="FBE4D5" w:themeFill="accent2" w:themeFillTint="33"/>
          </w:tcPr>
          <w:p w14:paraId="5BD627F1" w14:textId="66BF55E8" w:rsidR="00E902EA" w:rsidRDefault="00E902EA" w:rsidP="00E902EA">
            <w:r>
              <w:t>June 5</w:t>
            </w:r>
          </w:p>
        </w:tc>
        <w:tc>
          <w:tcPr>
            <w:tcW w:w="1181" w:type="dxa"/>
          </w:tcPr>
          <w:p w14:paraId="41C74276" w14:textId="39DE54DC" w:rsidR="00E902EA" w:rsidRDefault="00E902EA" w:rsidP="00E902EA">
            <w:r>
              <w:t>Ch 18</w:t>
            </w:r>
          </w:p>
        </w:tc>
        <w:tc>
          <w:tcPr>
            <w:tcW w:w="3240" w:type="dxa"/>
          </w:tcPr>
          <w:p w14:paraId="144D70A7" w14:textId="70A493C3" w:rsidR="00E902EA" w:rsidRDefault="00E902EA" w:rsidP="00E902EA">
            <w:r>
              <w:t>Financial Markets (Pizzati)</w:t>
            </w:r>
          </w:p>
        </w:tc>
        <w:tc>
          <w:tcPr>
            <w:tcW w:w="3060" w:type="dxa"/>
          </w:tcPr>
          <w:p w14:paraId="79E76A97" w14:textId="35CDDD92" w:rsidR="00E902EA" w:rsidRDefault="00E902EA" w:rsidP="00E902EA">
            <w:r>
              <w:t>Innovation/Start Up</w:t>
            </w:r>
          </w:p>
        </w:tc>
        <w:tc>
          <w:tcPr>
            <w:tcW w:w="895" w:type="dxa"/>
          </w:tcPr>
          <w:p w14:paraId="3DF11E56" w14:textId="77777777" w:rsidR="00E902EA" w:rsidRDefault="00E902EA" w:rsidP="00E902EA"/>
        </w:tc>
      </w:tr>
      <w:tr w:rsidR="00E902EA" w14:paraId="4E2E207B" w14:textId="77777777" w:rsidTr="00EE5EA0">
        <w:tc>
          <w:tcPr>
            <w:tcW w:w="974" w:type="dxa"/>
            <w:shd w:val="clear" w:color="auto" w:fill="FBE4D5" w:themeFill="accent2" w:themeFillTint="33"/>
          </w:tcPr>
          <w:p w14:paraId="4EE8178A" w14:textId="673109E5" w:rsidR="00E902EA" w:rsidRDefault="00E902EA" w:rsidP="00E902EA">
            <w:r>
              <w:t>June 6</w:t>
            </w:r>
          </w:p>
        </w:tc>
        <w:tc>
          <w:tcPr>
            <w:tcW w:w="1181" w:type="dxa"/>
          </w:tcPr>
          <w:p w14:paraId="38DBE61F" w14:textId="77777777" w:rsidR="00E902EA" w:rsidRDefault="00E902EA" w:rsidP="00E902EA"/>
        </w:tc>
        <w:tc>
          <w:tcPr>
            <w:tcW w:w="3240" w:type="dxa"/>
          </w:tcPr>
          <w:p w14:paraId="6717F6B2" w14:textId="4D9E0A94" w:rsidR="00E902EA" w:rsidRDefault="00E902EA" w:rsidP="00E902EA">
            <w:r>
              <w:t>Beer Economy (Poelmans)</w:t>
            </w:r>
          </w:p>
        </w:tc>
        <w:tc>
          <w:tcPr>
            <w:tcW w:w="3060" w:type="dxa"/>
          </w:tcPr>
          <w:p w14:paraId="1D5FF6CA" w14:textId="7F859BAC" w:rsidR="00E902EA" w:rsidRDefault="00E902EA" w:rsidP="00E902EA">
            <w:r>
              <w:t>Tour of AB InBev</w:t>
            </w:r>
          </w:p>
        </w:tc>
        <w:tc>
          <w:tcPr>
            <w:tcW w:w="895" w:type="dxa"/>
          </w:tcPr>
          <w:p w14:paraId="058B5AFC" w14:textId="77777777" w:rsidR="00E902EA" w:rsidRDefault="00E902EA" w:rsidP="00E902EA"/>
        </w:tc>
      </w:tr>
      <w:tr w:rsidR="00E902EA" w14:paraId="188A583A" w14:textId="77777777" w:rsidTr="00EE5EA0">
        <w:tc>
          <w:tcPr>
            <w:tcW w:w="974" w:type="dxa"/>
            <w:shd w:val="clear" w:color="auto" w:fill="FBE4D5" w:themeFill="accent2" w:themeFillTint="33"/>
          </w:tcPr>
          <w:p w14:paraId="5AA0EB98" w14:textId="6F8EC859" w:rsidR="00E902EA" w:rsidRDefault="00E902EA" w:rsidP="00E902EA">
            <w:r>
              <w:t>June 7</w:t>
            </w:r>
          </w:p>
        </w:tc>
        <w:tc>
          <w:tcPr>
            <w:tcW w:w="1181" w:type="dxa"/>
          </w:tcPr>
          <w:p w14:paraId="6A7B090C" w14:textId="77777777" w:rsidR="00E902EA" w:rsidRDefault="00E902EA" w:rsidP="00E902EA"/>
        </w:tc>
        <w:tc>
          <w:tcPr>
            <w:tcW w:w="3240" w:type="dxa"/>
          </w:tcPr>
          <w:p w14:paraId="0D17019B" w14:textId="3F2FE6ED" w:rsidR="00E902EA" w:rsidRDefault="00E902EA" w:rsidP="00E902EA">
            <w:r>
              <w:t>Day trip Lille, Bruges</w:t>
            </w:r>
          </w:p>
        </w:tc>
        <w:tc>
          <w:tcPr>
            <w:tcW w:w="3060" w:type="dxa"/>
          </w:tcPr>
          <w:p w14:paraId="46A54E88" w14:textId="7FF70D23" w:rsidR="00E902EA" w:rsidRDefault="00E902EA" w:rsidP="00E902EA">
            <w:r>
              <w:t>WWI memorial</w:t>
            </w:r>
          </w:p>
        </w:tc>
        <w:tc>
          <w:tcPr>
            <w:tcW w:w="895" w:type="dxa"/>
          </w:tcPr>
          <w:p w14:paraId="4EC28C39" w14:textId="77777777" w:rsidR="00E902EA" w:rsidRDefault="00E902EA" w:rsidP="00E902EA"/>
        </w:tc>
      </w:tr>
      <w:tr w:rsidR="00E902EA" w14:paraId="6C1E46E0" w14:textId="77777777" w:rsidTr="00EE5EA0">
        <w:tc>
          <w:tcPr>
            <w:tcW w:w="974" w:type="dxa"/>
            <w:shd w:val="clear" w:color="auto" w:fill="FBE4D5" w:themeFill="accent2" w:themeFillTint="33"/>
          </w:tcPr>
          <w:p w14:paraId="0E6763AB" w14:textId="10E9D12E" w:rsidR="00E902EA" w:rsidRDefault="00E902EA" w:rsidP="00E902EA">
            <w:r>
              <w:t>June 8</w:t>
            </w:r>
          </w:p>
        </w:tc>
        <w:tc>
          <w:tcPr>
            <w:tcW w:w="1181" w:type="dxa"/>
          </w:tcPr>
          <w:p w14:paraId="2F674C3F" w14:textId="77777777" w:rsidR="00E902EA" w:rsidRDefault="00E902EA" w:rsidP="00E902EA"/>
        </w:tc>
        <w:tc>
          <w:tcPr>
            <w:tcW w:w="3240" w:type="dxa"/>
          </w:tcPr>
          <w:p w14:paraId="28E4DE69" w14:textId="47C39984" w:rsidR="00E902EA" w:rsidRDefault="00E902EA" w:rsidP="00E902EA">
            <w:r>
              <w:t>Review</w:t>
            </w:r>
          </w:p>
        </w:tc>
        <w:tc>
          <w:tcPr>
            <w:tcW w:w="3060" w:type="dxa"/>
          </w:tcPr>
          <w:p w14:paraId="6F352D98" w14:textId="2EEB1D9A" w:rsidR="00E902EA" w:rsidRDefault="00E902EA" w:rsidP="00E902EA">
            <w:r>
              <w:t>Test</w:t>
            </w:r>
          </w:p>
        </w:tc>
        <w:tc>
          <w:tcPr>
            <w:tcW w:w="895" w:type="dxa"/>
          </w:tcPr>
          <w:p w14:paraId="66231D0C" w14:textId="6EB926C3" w:rsidR="00E902EA" w:rsidRDefault="00E902EA" w:rsidP="00E902EA">
            <w:r>
              <w:t>Final</w:t>
            </w:r>
          </w:p>
        </w:tc>
      </w:tr>
      <w:tr w:rsidR="00E902EA" w14:paraId="657CF3C5" w14:textId="77777777" w:rsidTr="00EE5EA0">
        <w:tc>
          <w:tcPr>
            <w:tcW w:w="974" w:type="dxa"/>
            <w:shd w:val="clear" w:color="auto" w:fill="FBE4D5" w:themeFill="accent2" w:themeFillTint="33"/>
          </w:tcPr>
          <w:p w14:paraId="6091E055" w14:textId="320E584E" w:rsidR="00E902EA" w:rsidRDefault="00E902EA" w:rsidP="00E902EA">
            <w:r>
              <w:t>June 9</w:t>
            </w:r>
          </w:p>
        </w:tc>
        <w:tc>
          <w:tcPr>
            <w:tcW w:w="1181" w:type="dxa"/>
          </w:tcPr>
          <w:p w14:paraId="5757F884" w14:textId="77777777" w:rsidR="00E902EA" w:rsidRDefault="00E902EA" w:rsidP="00E902EA"/>
        </w:tc>
        <w:tc>
          <w:tcPr>
            <w:tcW w:w="3240" w:type="dxa"/>
          </w:tcPr>
          <w:p w14:paraId="64E5BF69" w14:textId="128B5F7F" w:rsidR="00E902EA" w:rsidRDefault="00E902EA" w:rsidP="00E902EA">
            <w:r>
              <w:t>Return Flight</w:t>
            </w:r>
          </w:p>
        </w:tc>
        <w:tc>
          <w:tcPr>
            <w:tcW w:w="3060" w:type="dxa"/>
          </w:tcPr>
          <w:p w14:paraId="5CED08B8" w14:textId="00F6AFF4" w:rsidR="00E902EA" w:rsidRDefault="00E902EA" w:rsidP="00E902EA"/>
        </w:tc>
        <w:tc>
          <w:tcPr>
            <w:tcW w:w="895" w:type="dxa"/>
          </w:tcPr>
          <w:p w14:paraId="0C745210" w14:textId="625091EC" w:rsidR="00E902EA" w:rsidRDefault="00E902EA" w:rsidP="00E902EA"/>
        </w:tc>
      </w:tr>
      <w:tr w:rsidR="00E902EA" w14:paraId="60F87C9A" w14:textId="77777777" w:rsidTr="00EE5EA0">
        <w:tc>
          <w:tcPr>
            <w:tcW w:w="974" w:type="dxa"/>
            <w:shd w:val="clear" w:color="auto" w:fill="D5DCE4" w:themeFill="text2" w:themeFillTint="33"/>
          </w:tcPr>
          <w:p w14:paraId="05A0C31B" w14:textId="7E8F540B" w:rsidR="00E902EA" w:rsidRDefault="00E902EA" w:rsidP="00E902EA">
            <w:r>
              <w:t>June 15</w:t>
            </w:r>
          </w:p>
        </w:tc>
        <w:tc>
          <w:tcPr>
            <w:tcW w:w="1181" w:type="dxa"/>
          </w:tcPr>
          <w:p w14:paraId="0369A3ED" w14:textId="77777777" w:rsidR="00E902EA" w:rsidRDefault="00E902EA" w:rsidP="00E902EA"/>
        </w:tc>
        <w:tc>
          <w:tcPr>
            <w:tcW w:w="3240" w:type="dxa"/>
          </w:tcPr>
          <w:p w14:paraId="06C268A8" w14:textId="77777777" w:rsidR="00E902EA" w:rsidRDefault="00E902EA" w:rsidP="00E902EA"/>
        </w:tc>
        <w:tc>
          <w:tcPr>
            <w:tcW w:w="3060" w:type="dxa"/>
          </w:tcPr>
          <w:p w14:paraId="6B35B94A" w14:textId="77777777" w:rsidR="00E902EA" w:rsidRDefault="00E902EA" w:rsidP="00E902EA"/>
        </w:tc>
        <w:tc>
          <w:tcPr>
            <w:tcW w:w="895" w:type="dxa"/>
          </w:tcPr>
          <w:p w14:paraId="071237EF" w14:textId="22499CCE" w:rsidR="00E902EA" w:rsidRDefault="00E902EA" w:rsidP="00E902EA">
            <w:r>
              <w:t xml:space="preserve">Paper </w:t>
            </w:r>
          </w:p>
        </w:tc>
      </w:tr>
    </w:tbl>
    <w:p w14:paraId="37D1034D" w14:textId="77777777" w:rsidR="00996219" w:rsidRDefault="00996219" w:rsidP="00996219">
      <w:pPr>
        <w:pStyle w:val="Standard"/>
        <w:jc w:val="both"/>
        <w:rPr>
          <w:b/>
          <w:bCs/>
          <w:sz w:val="20"/>
          <w:szCs w:val="20"/>
        </w:rPr>
      </w:pPr>
    </w:p>
    <w:p w14:paraId="68787544" w14:textId="77777777" w:rsidR="00996219" w:rsidRPr="00B843DA" w:rsidRDefault="00996219" w:rsidP="00996219">
      <w:pPr>
        <w:pStyle w:val="Standard"/>
        <w:jc w:val="both"/>
        <w:rPr>
          <w:sz w:val="20"/>
          <w:szCs w:val="20"/>
        </w:rPr>
      </w:pPr>
      <w:r w:rsidRPr="00B843DA">
        <w:rPr>
          <w:b/>
          <w:bCs/>
          <w:sz w:val="20"/>
          <w:szCs w:val="20"/>
        </w:rPr>
        <w:t xml:space="preserve">DISABILITIES: </w:t>
      </w:r>
      <w:r w:rsidRPr="00B843DA">
        <w:rPr>
          <w:sz w:val="20"/>
          <w:szCs w:val="20"/>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that this letter is delivered to me as early in the semester as possible.</w:t>
      </w:r>
    </w:p>
    <w:p w14:paraId="703798CD" w14:textId="77777777" w:rsidR="00996219" w:rsidRPr="00B843DA" w:rsidRDefault="00996219" w:rsidP="00996219">
      <w:pPr>
        <w:pStyle w:val="Standard"/>
        <w:jc w:val="both"/>
        <w:rPr>
          <w:sz w:val="20"/>
          <w:szCs w:val="20"/>
        </w:rPr>
      </w:pPr>
      <w:r w:rsidRPr="00B843DA">
        <w:rPr>
          <w:b/>
          <w:bCs/>
          <w:sz w:val="20"/>
          <w:szCs w:val="20"/>
        </w:rPr>
        <w:t>ACADEMIC INTEGRITY:</w:t>
      </w:r>
      <w:r w:rsidRPr="00B843DA">
        <w:rPr>
          <w:sz w:val="20"/>
          <w:szCs w:val="20"/>
        </w:rPr>
        <w:t xml:space="preserve"> The University takes academic integrity quite seriously. All violations of academic integrity will be reported to Student Judicial Affairs and Community Standards in accordance with university policy.</w:t>
      </w:r>
    </w:p>
    <w:p w14:paraId="1FEDEE48" w14:textId="77777777" w:rsidR="00996219" w:rsidRDefault="00996219" w:rsidP="00996219">
      <w:pPr>
        <w:jc w:val="both"/>
      </w:pPr>
      <w:r>
        <w:lastRenderedPageBreak/>
        <w:t xml:space="preserve">The course’s structure follows the chapters in Baldwin and Wyplosz “The Economics of European Integration.” Students are assigned a European country, and each weekly homework involves applying the lessons learned from the weekly topic to the selected country. This also consists in gathering data using Eurostat’s database and preparing graphs and tables to present their findings. The weekly assignments are then assembled in a final country report paper to be briefly presented at the end of the course. There </w:t>
      </w:r>
      <w:r w:rsidR="00B03AB6">
        <w:t xml:space="preserve">is also a written test </w:t>
      </w:r>
      <w:r>
        <w:t>focus</w:t>
      </w:r>
      <w:r w:rsidR="00B03AB6">
        <w:t>ing</w:t>
      </w:r>
      <w:r>
        <w:t xml:space="preserve"> on </w:t>
      </w:r>
      <w:r w:rsidR="00B03AB6">
        <w:t xml:space="preserve">both </w:t>
      </w:r>
      <w:r>
        <w:t>the microeconom</w:t>
      </w:r>
      <w:r w:rsidR="00B03AB6">
        <w:t xml:space="preserve">ic aspects and </w:t>
      </w:r>
      <w:r>
        <w:t xml:space="preserve">on the macroeconomic issues discussed </w:t>
      </w:r>
      <w:r w:rsidR="00B03AB6">
        <w:t>throughout</w:t>
      </w:r>
      <w:r>
        <w:t xml:space="preserve"> the course. </w:t>
      </w:r>
    </w:p>
    <w:p w14:paraId="05DAF2BD" w14:textId="77777777" w:rsidR="00996219" w:rsidRDefault="00996219" w:rsidP="00996219"/>
    <w:p w14:paraId="3B9EE113" w14:textId="77777777" w:rsidR="00B03AB6" w:rsidRPr="00B03AB6" w:rsidRDefault="00B03AB6" w:rsidP="00996219">
      <w:pPr>
        <w:rPr>
          <w:b/>
        </w:rPr>
      </w:pPr>
      <w:r w:rsidRPr="00B03AB6">
        <w:rPr>
          <w:b/>
        </w:rPr>
        <w:t>TOPICS COVERED:</w:t>
      </w:r>
    </w:p>
    <w:p w14:paraId="592D7A61" w14:textId="77777777" w:rsidR="00B03AB6" w:rsidRDefault="00B03AB6" w:rsidP="00996219"/>
    <w:p w14:paraId="40BCCB55" w14:textId="77777777" w:rsidR="00996219" w:rsidRDefault="00996219" w:rsidP="00996219">
      <w:pPr>
        <w:rPr>
          <w:b/>
        </w:rPr>
      </w:pPr>
      <w:r>
        <w:rPr>
          <w:b/>
        </w:rPr>
        <w:t>HISTORICAL BACKGROUND</w:t>
      </w:r>
    </w:p>
    <w:p w14:paraId="25D14B88" w14:textId="77777777" w:rsidR="00996219" w:rsidRDefault="00996219" w:rsidP="00996219">
      <w:pPr>
        <w:pStyle w:val="Standard"/>
        <w:jc w:val="both"/>
      </w:pPr>
    </w:p>
    <w:p w14:paraId="694B571A" w14:textId="77777777" w:rsidR="00996219" w:rsidRPr="00B843DA" w:rsidRDefault="00996219" w:rsidP="00996219">
      <w:pPr>
        <w:pStyle w:val="Standard"/>
        <w:jc w:val="both"/>
      </w:pPr>
      <w:r>
        <w:t>The first week of lectures focuses on the historical background essential to understand the political motivations behind the economic integration process in Europe. Since WWII the world entered a period of increasing international trade, turning into full globalization in these last quarter century after the end of the Cold War. In this respect, Europe played a groundbreaking role as the seeds of economic integration and policy coordination were first planted in the 1950’s with the European Coal and Steel Community. Before jumping into an economic analysis of recent policy challenges, the course will first focus on what lead European countries to integrate. This will not only be useful to learn a bit of European contemporary history, but it will also serve as a framework to understand the dynamics in other regions of the world experiencing economic growth. (</w:t>
      </w:r>
      <w:hyperlink r:id="rId4" w:history="1">
        <w:r w:rsidRPr="00A45B42">
          <w:rPr>
            <w:rStyle w:val="Hyperlink"/>
          </w:rPr>
          <w:t>Brief History of the European Union</w:t>
        </w:r>
      </w:hyperlink>
      <w:r>
        <w:t>)</w:t>
      </w:r>
    </w:p>
    <w:p w14:paraId="0A597137" w14:textId="77777777" w:rsidR="00996219" w:rsidRDefault="00996219" w:rsidP="00996219">
      <w:pPr>
        <w:pStyle w:val="Standard"/>
        <w:jc w:val="both"/>
        <w:rPr>
          <w:b/>
        </w:rPr>
      </w:pPr>
    </w:p>
    <w:p w14:paraId="24590C9F" w14:textId="77777777" w:rsidR="00996219" w:rsidRDefault="00996219" w:rsidP="00996219">
      <w:pPr>
        <w:pStyle w:val="Standard"/>
        <w:jc w:val="both"/>
        <w:rPr>
          <w:b/>
        </w:rPr>
      </w:pPr>
      <w:r>
        <w:rPr>
          <w:b/>
        </w:rPr>
        <w:t>LAW, INSTITUTIONS, AND BUDGET</w:t>
      </w:r>
    </w:p>
    <w:p w14:paraId="0745E7BD" w14:textId="77777777" w:rsidR="00996219" w:rsidRDefault="00996219" w:rsidP="00996219">
      <w:pPr>
        <w:pStyle w:val="Standard"/>
        <w:jc w:val="both"/>
        <w:rPr>
          <w:b/>
        </w:rPr>
      </w:pPr>
    </w:p>
    <w:p w14:paraId="1FD7E513" w14:textId="77777777" w:rsidR="00996219" w:rsidRPr="00914188" w:rsidRDefault="00996219" w:rsidP="00996219">
      <w:pPr>
        <w:pStyle w:val="Standard"/>
        <w:jc w:val="both"/>
      </w:pPr>
      <w:r>
        <w:t xml:space="preserve">In addition to the historical background, prior to tackling economic issues, it is just as important to understand the overlapping institutions as well as the differences between Europe and the United States, which may be comparable in economic size. European Union (EU) is different from European Monetary Union (EMU), as some countries are part of both (i.e. France) and some are not (i.e. Denmark). Some countries are part of NATO and not the EU (i.e. Norway), and some are part of the EU and not NATO (i.e. Sweden). Aside from definitions and trivia, it is crucial to recognize the implications of some decisive treaties. For instance, the Maastricht Treaty determined inflation, debt and deficit boundaries for countries converging into the Euro, or the Lisbon Treaty laid down the constitutional basis for political integration. In some ways, Europe appears more centralized than the United States, since in the latter individual states have authority on numerous issues, while the former is moving toward excessive homologation. In other ways, Europe has cultural and bureaucratic boundaries that impede a full integration of labor and financial markets, and because of this, it lags behind the U.S. in reaping the benefits of integration. </w:t>
      </w:r>
    </w:p>
    <w:p w14:paraId="387BD235" w14:textId="77777777" w:rsidR="00996219" w:rsidRDefault="00996219" w:rsidP="00996219">
      <w:pPr>
        <w:pStyle w:val="Standard"/>
        <w:jc w:val="both"/>
        <w:rPr>
          <w:b/>
        </w:rPr>
      </w:pPr>
    </w:p>
    <w:p w14:paraId="013C1FF6" w14:textId="77777777" w:rsidR="00996219" w:rsidRDefault="00996219" w:rsidP="00996219">
      <w:pPr>
        <w:pStyle w:val="Standard"/>
        <w:jc w:val="both"/>
        <w:rPr>
          <w:b/>
        </w:rPr>
      </w:pPr>
      <w:r>
        <w:rPr>
          <w:b/>
        </w:rPr>
        <w:t>ESSENTIAL MICROECONOMIC TOOLS</w:t>
      </w:r>
    </w:p>
    <w:p w14:paraId="7AA2D8A3" w14:textId="77777777" w:rsidR="00996219" w:rsidRDefault="00996219" w:rsidP="00996219">
      <w:pPr>
        <w:pStyle w:val="Standard"/>
        <w:jc w:val="both"/>
        <w:rPr>
          <w:b/>
        </w:rPr>
      </w:pPr>
    </w:p>
    <w:p w14:paraId="545DCEDD" w14:textId="77777777" w:rsidR="00996219" w:rsidRPr="000C3F2C" w:rsidRDefault="00996219" w:rsidP="00996219">
      <w:pPr>
        <w:pStyle w:val="Standard"/>
        <w:jc w:val="both"/>
      </w:pPr>
      <w:r w:rsidRPr="00F346E2">
        <w:t>An introduction to the fundamental methods of trade policy analysis is presented. This week introduces basic supply and demand analysis in an open economy and the key economic welfare concepts of consumer and producer surplus, and then uses them to study the simple economics of tariff protection</w:t>
      </w:r>
      <w:r>
        <w:t xml:space="preserve">. This analytical concept should be familiar to students who took Principles of Microeconomics (Econ 203), but we will review it with some practical examples pertaining to </w:t>
      </w:r>
      <w:r>
        <w:lastRenderedPageBreak/>
        <w:t>Europe.</w:t>
      </w:r>
    </w:p>
    <w:p w14:paraId="2DD5DE03" w14:textId="77777777" w:rsidR="00996219" w:rsidRDefault="00996219" w:rsidP="00996219">
      <w:pPr>
        <w:pStyle w:val="Standard"/>
        <w:jc w:val="both"/>
        <w:rPr>
          <w:b/>
        </w:rPr>
      </w:pPr>
    </w:p>
    <w:p w14:paraId="00B2D7E2" w14:textId="77777777" w:rsidR="00996219" w:rsidRDefault="00996219" w:rsidP="00996219">
      <w:pPr>
        <w:pStyle w:val="Standard"/>
        <w:jc w:val="both"/>
        <w:rPr>
          <w:b/>
        </w:rPr>
      </w:pPr>
      <w:r>
        <w:rPr>
          <w:b/>
        </w:rPr>
        <w:t>PREFERENTIAL LIBERALIZATION</w:t>
      </w:r>
    </w:p>
    <w:p w14:paraId="6810B4D1" w14:textId="77777777" w:rsidR="00996219" w:rsidRDefault="00996219" w:rsidP="00996219">
      <w:pPr>
        <w:pStyle w:val="Standard"/>
        <w:jc w:val="both"/>
        <w:rPr>
          <w:b/>
        </w:rPr>
      </w:pPr>
    </w:p>
    <w:p w14:paraId="63F5AD36" w14:textId="77777777" w:rsidR="00996219" w:rsidRPr="00F346E2" w:rsidRDefault="00996219" w:rsidP="00996219">
      <w:pPr>
        <w:pStyle w:val="Standard"/>
        <w:jc w:val="both"/>
      </w:pPr>
      <w:r w:rsidRPr="00F346E2">
        <w:t>An in-depth analysis of European preferential trade liberalization is given. The focus is on how the formation of customs union or free trade area affects people, companies and governments inside and outside the integrating nations.</w:t>
      </w:r>
    </w:p>
    <w:p w14:paraId="6302DC83" w14:textId="77777777" w:rsidR="00B03AB6" w:rsidRDefault="00B03AB6" w:rsidP="00996219">
      <w:pPr>
        <w:pStyle w:val="Standard"/>
        <w:jc w:val="both"/>
        <w:rPr>
          <w:b/>
        </w:rPr>
      </w:pPr>
    </w:p>
    <w:p w14:paraId="7FD27D01" w14:textId="77777777" w:rsidR="00996219" w:rsidRDefault="00996219" w:rsidP="00996219">
      <w:pPr>
        <w:pStyle w:val="Standard"/>
        <w:jc w:val="both"/>
        <w:rPr>
          <w:b/>
        </w:rPr>
      </w:pPr>
      <w:r>
        <w:rPr>
          <w:b/>
        </w:rPr>
        <w:t>ECONOMIES OF SCALE AND GROWTH</w:t>
      </w:r>
    </w:p>
    <w:p w14:paraId="49129363" w14:textId="77777777" w:rsidR="00996219" w:rsidRPr="00A8575E" w:rsidRDefault="00996219" w:rsidP="00996219">
      <w:pPr>
        <w:pStyle w:val="Standard"/>
        <w:jc w:val="both"/>
      </w:pPr>
    </w:p>
    <w:p w14:paraId="68AD18E6" w14:textId="77777777" w:rsidR="00996219" w:rsidRDefault="00996219" w:rsidP="00996219">
      <w:pPr>
        <w:pStyle w:val="Standard"/>
        <w:jc w:val="both"/>
      </w:pPr>
      <w:r>
        <w:t>M</w:t>
      </w:r>
      <w:r w:rsidRPr="00A8575E">
        <w:t xml:space="preserve">arket-expanding aspects of European integration </w:t>
      </w:r>
      <w:r>
        <w:t xml:space="preserve">will </w:t>
      </w:r>
      <w:r w:rsidRPr="00A8575E">
        <w:t>affect the efficiency of European firms. The main line of reasoning explains how integration in the presence of scale economies can produce fewer, bigger and more efficient firms facing more effective compe</w:t>
      </w:r>
      <w:r>
        <w:t>tition from each other. T</w:t>
      </w:r>
      <w:r w:rsidRPr="00A8575E">
        <w:t>he ongoing enlargement of the European Union makes this sort o</w:t>
      </w:r>
      <w:r>
        <w:t>f logic more relevant, although actual experience may underscore discrepancies across countries due to institutional rigidities.</w:t>
      </w:r>
    </w:p>
    <w:p w14:paraId="53A12AE3" w14:textId="77777777" w:rsidR="00996219" w:rsidRPr="00A8575E" w:rsidRDefault="00996219" w:rsidP="00996219">
      <w:pPr>
        <w:pStyle w:val="Standard"/>
        <w:jc w:val="both"/>
      </w:pPr>
      <w:r w:rsidRPr="00C41208">
        <w:t>The emphasis is</w:t>
      </w:r>
      <w:r>
        <w:t xml:space="preserve"> on comparing theory and evidence of E</w:t>
      </w:r>
      <w:r w:rsidRPr="00C41208">
        <w:t>u</w:t>
      </w:r>
      <w:r>
        <w:t>ropean integration medium</w:t>
      </w:r>
      <w:r w:rsidRPr="00C41208">
        <w:t xml:space="preserve"> and long-run growth effects. </w:t>
      </w:r>
      <w:r>
        <w:t>Neoclassical and endogenous grow</w:t>
      </w:r>
      <w:r w:rsidRPr="00C41208">
        <w:t>th theories are covered to understand the growth-integration li</w:t>
      </w:r>
      <w:r>
        <w:t xml:space="preserve">nkages. </w:t>
      </w:r>
    </w:p>
    <w:p w14:paraId="68F71F8D" w14:textId="77777777" w:rsidR="00996219" w:rsidRDefault="00996219" w:rsidP="00996219">
      <w:pPr>
        <w:pStyle w:val="Standard"/>
        <w:jc w:val="both"/>
        <w:rPr>
          <w:b/>
        </w:rPr>
      </w:pPr>
    </w:p>
    <w:p w14:paraId="6B82634C" w14:textId="77777777" w:rsidR="00996219" w:rsidRDefault="00996219" w:rsidP="00996219">
      <w:pPr>
        <w:pStyle w:val="Standard"/>
        <w:jc w:val="both"/>
        <w:rPr>
          <w:b/>
        </w:rPr>
      </w:pPr>
      <w:r>
        <w:rPr>
          <w:b/>
        </w:rPr>
        <w:t>LABOR MARKET AND MIGRATION</w:t>
      </w:r>
    </w:p>
    <w:p w14:paraId="04285D37" w14:textId="77777777" w:rsidR="00996219" w:rsidRDefault="00996219" w:rsidP="00996219">
      <w:pPr>
        <w:pStyle w:val="Standard"/>
        <w:jc w:val="both"/>
        <w:rPr>
          <w:b/>
        </w:rPr>
      </w:pPr>
    </w:p>
    <w:p w14:paraId="1B8CAB2C" w14:textId="77777777" w:rsidR="00996219" w:rsidRPr="00C41208" w:rsidRDefault="00996219" w:rsidP="00996219">
      <w:pPr>
        <w:pStyle w:val="Standard"/>
        <w:jc w:val="both"/>
      </w:pPr>
      <w:r>
        <w:t>We review</w:t>
      </w:r>
      <w:r w:rsidRPr="00C41208">
        <w:t xml:space="preserve"> the basics of labor economics in order to explain unemployment and </w:t>
      </w:r>
      <w:r>
        <w:t>how structural</w:t>
      </w:r>
      <w:r w:rsidRPr="00C41208">
        <w:t xml:space="preserve"> </w:t>
      </w:r>
      <w:r>
        <w:t xml:space="preserve">norms have </w:t>
      </w:r>
      <w:r w:rsidRPr="00C41208">
        <w:t xml:space="preserve">negative effects in terms of jobs, wages and growth. </w:t>
      </w:r>
      <w:r>
        <w:t xml:space="preserve">Based on this analytical framework, the </w:t>
      </w:r>
      <w:r w:rsidRPr="00C41208">
        <w:t>effects of integration</w:t>
      </w:r>
      <w:r>
        <w:t xml:space="preserve"> are considered, with special emphasis on the integration of Central and Eastern European countries, which were also transitioning into a market economy</w:t>
      </w:r>
      <w:r w:rsidRPr="00C41208">
        <w:t xml:space="preserve">. </w:t>
      </w:r>
    </w:p>
    <w:p w14:paraId="7E8F868E" w14:textId="77777777" w:rsidR="00996219" w:rsidRDefault="00996219" w:rsidP="00996219">
      <w:pPr>
        <w:pStyle w:val="Standard"/>
        <w:jc w:val="both"/>
        <w:rPr>
          <w:b/>
        </w:rPr>
      </w:pPr>
    </w:p>
    <w:p w14:paraId="6329F20A" w14:textId="77777777" w:rsidR="00996219" w:rsidRDefault="00996219" w:rsidP="00996219">
      <w:pPr>
        <w:pStyle w:val="Standard"/>
        <w:jc w:val="both"/>
        <w:rPr>
          <w:b/>
        </w:rPr>
      </w:pPr>
      <w:r>
        <w:rPr>
          <w:b/>
        </w:rPr>
        <w:t>THE COMMON AGRICULTURAL POLICY</w:t>
      </w:r>
    </w:p>
    <w:p w14:paraId="5B375E98" w14:textId="77777777" w:rsidR="00996219" w:rsidRDefault="00996219" w:rsidP="00996219">
      <w:pPr>
        <w:pStyle w:val="Standard"/>
        <w:jc w:val="both"/>
        <w:rPr>
          <w:b/>
        </w:rPr>
      </w:pPr>
    </w:p>
    <w:p w14:paraId="7634DBCF" w14:textId="77777777" w:rsidR="00996219" w:rsidRPr="00C41208" w:rsidRDefault="00996219" w:rsidP="00996219">
      <w:pPr>
        <w:pStyle w:val="Standard"/>
        <w:jc w:val="both"/>
      </w:pPr>
      <w:r w:rsidRPr="00C41208">
        <w:t>The Common Agricultural Policy (CAP</w:t>
      </w:r>
      <w:r>
        <w:t>) is examined as an example of microeconomic policy</w:t>
      </w:r>
      <w:r w:rsidRPr="00C41208">
        <w:t>.</w:t>
      </w:r>
      <w:r>
        <w:t xml:space="preserve"> In many respects European agricultural policy resembles protectionism rather than free trade, and this practice is not much dissimilar to the agricultural policy in other regions of the world.</w:t>
      </w:r>
      <w:r w:rsidRPr="00C41208">
        <w:t xml:space="preserve"> The </w:t>
      </w:r>
      <w:r>
        <w:t>textbook</w:t>
      </w:r>
      <w:r w:rsidRPr="00C41208">
        <w:t xml:space="preserve"> takes particular care to examine the economic forces behind recent CAP reforms in light of international trade negotiations (the Doha Round), the Eastern enlargement and the reforms that are being discusses for the post-2013 financial period.</w:t>
      </w:r>
      <w:r>
        <w:t xml:space="preserve"> This is a practical example of how economic theory comes to face the political reality.</w:t>
      </w:r>
    </w:p>
    <w:p w14:paraId="64E1984C" w14:textId="77777777" w:rsidR="00996219" w:rsidRDefault="00996219" w:rsidP="00996219">
      <w:pPr>
        <w:pStyle w:val="Standard"/>
        <w:jc w:val="both"/>
        <w:rPr>
          <w:b/>
        </w:rPr>
      </w:pPr>
    </w:p>
    <w:p w14:paraId="3D9C7E71" w14:textId="77777777" w:rsidR="00996219" w:rsidRDefault="00996219" w:rsidP="00996219">
      <w:pPr>
        <w:pStyle w:val="Standard"/>
        <w:jc w:val="both"/>
        <w:rPr>
          <w:b/>
        </w:rPr>
      </w:pPr>
      <w:r>
        <w:rPr>
          <w:b/>
        </w:rPr>
        <w:t>REGIONAL POLICY AND REDISTRIBUTION</w:t>
      </w:r>
    </w:p>
    <w:p w14:paraId="37AB7EEE" w14:textId="77777777" w:rsidR="00996219" w:rsidRDefault="00996219" w:rsidP="00996219">
      <w:pPr>
        <w:pStyle w:val="Standard"/>
        <w:jc w:val="both"/>
        <w:rPr>
          <w:b/>
        </w:rPr>
      </w:pPr>
    </w:p>
    <w:p w14:paraId="49314E0C" w14:textId="77777777" w:rsidR="00996219" w:rsidRPr="00F72B26" w:rsidRDefault="00996219" w:rsidP="00996219">
      <w:pPr>
        <w:pStyle w:val="Standard"/>
        <w:jc w:val="both"/>
      </w:pPr>
      <w:r>
        <w:t>A third of the European Union’s budget (which is about 1% of the overall GDP) is dedicated to funding less developed regions. Europe presents a much wider income discrepancy than American states, and this redistribution is often justified to offset the supposed growth differentials due to integration</w:t>
      </w:r>
      <w:r w:rsidRPr="00F72B26">
        <w:t>.</w:t>
      </w:r>
      <w:r>
        <w:t xml:space="preserve"> In order </w:t>
      </w:r>
      <w:r w:rsidRPr="00F72B26">
        <w:t xml:space="preserve">to understand </w:t>
      </w:r>
      <w:r>
        <w:t>if this</w:t>
      </w:r>
      <w:r w:rsidRPr="00F72B26">
        <w:t xml:space="preserve"> EU regional policy </w:t>
      </w:r>
      <w:r>
        <w:t xml:space="preserve">is warranted, we </w:t>
      </w:r>
      <w:r w:rsidRPr="00F72B26">
        <w:t>presents the location effects of integration in light of neoclassical theories (Heckscher-Ohlin), as well as the so called economic geography. EU's regional policy</w:t>
      </w:r>
      <w:r>
        <w:t>, may be another case of politics over economics, especially when considering</w:t>
      </w:r>
      <w:r w:rsidRPr="00F72B26">
        <w:t xml:space="preserve"> the implications </w:t>
      </w:r>
      <w:r>
        <w:t>that the EU’s</w:t>
      </w:r>
      <w:r w:rsidRPr="00F72B26">
        <w:t xml:space="preserve"> Eastern enlargement</w:t>
      </w:r>
      <w:r>
        <w:t xml:space="preserve"> brought to redistribution</w:t>
      </w:r>
      <w:r w:rsidRPr="00F72B26">
        <w:t>.</w:t>
      </w:r>
      <w:r>
        <w:t xml:space="preserve"> EU subsidies are not limited to regional transfers, but these anti-competitive </w:t>
      </w:r>
      <w:r>
        <w:lastRenderedPageBreak/>
        <w:t>practices extend to other realms. This section will discuss several recent cases and their overall impact.</w:t>
      </w:r>
    </w:p>
    <w:p w14:paraId="038BF72F" w14:textId="77777777" w:rsidR="00996219" w:rsidRDefault="00996219" w:rsidP="00996219">
      <w:pPr>
        <w:pStyle w:val="Standard"/>
        <w:jc w:val="both"/>
        <w:rPr>
          <w:b/>
        </w:rPr>
      </w:pPr>
    </w:p>
    <w:p w14:paraId="2B966ADE" w14:textId="77777777" w:rsidR="00996219" w:rsidRDefault="00996219" w:rsidP="00996219">
      <w:pPr>
        <w:pStyle w:val="Standard"/>
        <w:jc w:val="both"/>
        <w:rPr>
          <w:b/>
        </w:rPr>
      </w:pPr>
      <w:r>
        <w:rPr>
          <w:b/>
        </w:rPr>
        <w:t>TRADE POLICY</w:t>
      </w:r>
    </w:p>
    <w:p w14:paraId="448E813E" w14:textId="77777777" w:rsidR="00996219" w:rsidRDefault="00996219" w:rsidP="00996219">
      <w:pPr>
        <w:pStyle w:val="Standard"/>
        <w:jc w:val="both"/>
        <w:rPr>
          <w:b/>
        </w:rPr>
      </w:pPr>
    </w:p>
    <w:p w14:paraId="2A010303" w14:textId="77777777" w:rsidR="00996219" w:rsidRPr="0090732B" w:rsidRDefault="00996219" w:rsidP="00996219">
      <w:pPr>
        <w:pStyle w:val="Standard"/>
        <w:jc w:val="both"/>
      </w:pPr>
      <w:r w:rsidRPr="0090732B">
        <w:t>EU trade policy</w:t>
      </w:r>
      <w:r>
        <w:t xml:space="preserve"> is</w:t>
      </w:r>
      <w:r w:rsidRPr="0090732B">
        <w:t xml:space="preserve"> its commercial relations with the rest of the world. While trade policy is not as central to the EU as </w:t>
      </w:r>
      <w:r>
        <w:t>the Common Agricultural Policy or</w:t>
      </w:r>
      <w:r w:rsidRPr="0090732B">
        <w:t xml:space="preserve"> </w:t>
      </w:r>
      <w:r>
        <w:t>regional policies</w:t>
      </w:r>
      <w:r w:rsidRPr="0090732B">
        <w:t xml:space="preserve">, it is </w:t>
      </w:r>
      <w:r>
        <w:t>important. The EU is the world</w:t>
      </w:r>
      <w:r w:rsidRPr="0090732B">
        <w:t xml:space="preserve"> largest trader, and trade policy is the only EU "foreign policy" that is consistently effective. </w:t>
      </w:r>
      <w:r>
        <w:t>This section</w:t>
      </w:r>
      <w:r w:rsidRPr="0090732B">
        <w:t xml:space="preserve"> covers EU trade policy by presenting the basic facts on EU trade, covering the EU's institutional arrangements </w:t>
      </w:r>
      <w:r>
        <w:t>that concern</w:t>
      </w:r>
      <w:r w:rsidRPr="0090732B">
        <w:t xml:space="preserve"> trade policy, and finally summarizing the EU's policies towards its va</w:t>
      </w:r>
      <w:r>
        <w:t>rious trade partners.</w:t>
      </w:r>
    </w:p>
    <w:p w14:paraId="03DD5B9E" w14:textId="77777777" w:rsidR="00996219" w:rsidRDefault="00996219" w:rsidP="00996219">
      <w:pPr>
        <w:pStyle w:val="Standard"/>
        <w:jc w:val="both"/>
        <w:rPr>
          <w:b/>
        </w:rPr>
      </w:pPr>
    </w:p>
    <w:p w14:paraId="5E10617D" w14:textId="77777777" w:rsidR="00996219" w:rsidRDefault="00996219" w:rsidP="00996219">
      <w:pPr>
        <w:pStyle w:val="Standard"/>
        <w:jc w:val="both"/>
        <w:rPr>
          <w:b/>
        </w:rPr>
      </w:pPr>
      <w:r>
        <w:rPr>
          <w:b/>
        </w:rPr>
        <w:t>ESSENTIAL MACROECONOMIC TOOLS</w:t>
      </w:r>
    </w:p>
    <w:p w14:paraId="3578CEE1" w14:textId="77777777" w:rsidR="00996219" w:rsidRDefault="00996219" w:rsidP="00996219">
      <w:pPr>
        <w:pStyle w:val="Standard"/>
        <w:jc w:val="both"/>
        <w:rPr>
          <w:b/>
        </w:rPr>
      </w:pPr>
    </w:p>
    <w:p w14:paraId="76A558BD" w14:textId="77777777" w:rsidR="00996219" w:rsidRPr="00105748" w:rsidRDefault="00996219" w:rsidP="00996219">
      <w:pPr>
        <w:pStyle w:val="Standard"/>
        <w:jc w:val="both"/>
      </w:pPr>
      <w:r>
        <w:t>This section revisits</w:t>
      </w:r>
      <w:r w:rsidRPr="00105748">
        <w:t xml:space="preserve"> the macroeconomic theor</w:t>
      </w:r>
      <w:r>
        <w:t>y</w:t>
      </w:r>
      <w:r w:rsidRPr="00105748">
        <w:t xml:space="preserve"> </w:t>
      </w:r>
      <w:r>
        <w:t>needed to analyz</w:t>
      </w:r>
      <w:r w:rsidRPr="00105748">
        <w:t>e monetary integration. It is organized around the Mundell-Fleming model and establishes thee principles: interest rate parity, purchasing power parity and the impossible trini</w:t>
      </w:r>
      <w:r>
        <w:t>ty that affects the choice of ex</w:t>
      </w:r>
      <w:r w:rsidRPr="00105748">
        <w:t>change rate regimes.</w:t>
      </w:r>
    </w:p>
    <w:p w14:paraId="404A440B" w14:textId="77777777" w:rsidR="00996219" w:rsidRDefault="00996219" w:rsidP="00996219">
      <w:pPr>
        <w:pStyle w:val="Standard"/>
        <w:jc w:val="both"/>
        <w:rPr>
          <w:b/>
        </w:rPr>
      </w:pPr>
    </w:p>
    <w:p w14:paraId="7C213DB9" w14:textId="77777777" w:rsidR="00996219" w:rsidRDefault="00996219" w:rsidP="00996219">
      <w:pPr>
        <w:pStyle w:val="Standard"/>
        <w:jc w:val="both"/>
        <w:rPr>
          <w:b/>
        </w:rPr>
      </w:pPr>
      <w:r>
        <w:rPr>
          <w:b/>
        </w:rPr>
        <w:t>MONETARY INTEGRATION</w:t>
      </w:r>
    </w:p>
    <w:p w14:paraId="2249D958" w14:textId="77777777" w:rsidR="00996219" w:rsidRDefault="00996219" w:rsidP="00996219">
      <w:pPr>
        <w:pStyle w:val="Standard"/>
        <w:jc w:val="both"/>
      </w:pPr>
    </w:p>
    <w:p w14:paraId="0623D79E" w14:textId="77777777" w:rsidR="00996219" w:rsidRPr="00105748" w:rsidRDefault="00996219" w:rsidP="00996219">
      <w:pPr>
        <w:pStyle w:val="Standard"/>
        <w:jc w:val="both"/>
      </w:pPr>
      <w:r>
        <w:t>Europe has essentially been in a monetary union before the Euro, since a system of fixed exchange rates was already in place under the gold standard. This section looks at the optimum currency area theory as the framework needed to think about the working of a monetary union. The basis is provided by the principles developed in the previous section, and looking at the costs and benefits resulting from sharing a common currency, the theory is essential to understanding what works and does not work in the Eurozone.</w:t>
      </w:r>
    </w:p>
    <w:p w14:paraId="2813894A" w14:textId="77777777" w:rsidR="00996219" w:rsidRDefault="00996219" w:rsidP="00996219">
      <w:pPr>
        <w:pStyle w:val="Standard"/>
        <w:jc w:val="both"/>
        <w:rPr>
          <w:b/>
        </w:rPr>
      </w:pPr>
    </w:p>
    <w:p w14:paraId="10869AE7" w14:textId="77777777" w:rsidR="00996219" w:rsidRDefault="00996219" w:rsidP="00996219">
      <w:pPr>
        <w:pStyle w:val="Standard"/>
        <w:jc w:val="both"/>
        <w:rPr>
          <w:b/>
        </w:rPr>
      </w:pPr>
      <w:r>
        <w:rPr>
          <w:b/>
        </w:rPr>
        <w:t>EUROPEAN MONETARY UNION (EMU)</w:t>
      </w:r>
    </w:p>
    <w:p w14:paraId="16F13A2E" w14:textId="77777777" w:rsidR="00996219" w:rsidRDefault="00996219" w:rsidP="00996219">
      <w:pPr>
        <w:pStyle w:val="Standard"/>
        <w:jc w:val="both"/>
        <w:rPr>
          <w:b/>
        </w:rPr>
      </w:pPr>
    </w:p>
    <w:p w14:paraId="3F51BB45" w14:textId="77777777" w:rsidR="00996219" w:rsidRDefault="00996219" w:rsidP="00996219">
      <w:pPr>
        <w:pStyle w:val="Standard"/>
        <w:jc w:val="both"/>
      </w:pPr>
      <w:r>
        <w:t>What are the main features of the European monetary union? The institutions created by the Maastricht Treaty have evolved since, including during the crisis that started at the end of 2009. Here we explain the importance attached to price stability and the measures adopted to achieve this objective. Here we review the first decade of the euro up until the crisis, and how fiscal policy is the last national macroeconomic instrument remaining once national monetary policy had been lost.</w:t>
      </w:r>
    </w:p>
    <w:p w14:paraId="3D8A27A0" w14:textId="77777777" w:rsidR="00996219" w:rsidRDefault="00996219" w:rsidP="00996219">
      <w:pPr>
        <w:pStyle w:val="Standard"/>
        <w:jc w:val="both"/>
      </w:pPr>
    </w:p>
    <w:p w14:paraId="781EEBA1" w14:textId="77777777" w:rsidR="00996219" w:rsidRDefault="00B03AB6" w:rsidP="00996219">
      <w:pPr>
        <w:pStyle w:val="Standard"/>
        <w:jc w:val="both"/>
        <w:rPr>
          <w:b/>
        </w:rPr>
      </w:pPr>
      <w:r>
        <w:rPr>
          <w:b/>
        </w:rPr>
        <w:t>FISCAL POLICY AND STABILITY PACT</w:t>
      </w:r>
    </w:p>
    <w:p w14:paraId="55427CC4" w14:textId="77777777" w:rsidR="00996219" w:rsidRDefault="00996219" w:rsidP="00996219">
      <w:pPr>
        <w:pStyle w:val="Standard"/>
        <w:jc w:val="both"/>
        <w:rPr>
          <w:b/>
        </w:rPr>
      </w:pPr>
    </w:p>
    <w:p w14:paraId="72B96003" w14:textId="77777777" w:rsidR="00996219" w:rsidRDefault="00996219" w:rsidP="00996219">
      <w:pPr>
        <w:pStyle w:val="Standard"/>
        <w:jc w:val="both"/>
      </w:pPr>
      <w:r>
        <w:t>The Stability and Growth Pact is designed to deliver just enough budgetary discipline so as not to endanger the overriding price stability objective. There are some shortcomings to this Pact, and the crisis has led to a strengthening it, although fundamental economic and political difficulties remain.</w:t>
      </w:r>
    </w:p>
    <w:p w14:paraId="4CA55A1C" w14:textId="77777777" w:rsidR="00996219" w:rsidRDefault="00996219" w:rsidP="00996219">
      <w:pPr>
        <w:pStyle w:val="Standard"/>
        <w:jc w:val="both"/>
        <w:rPr>
          <w:b/>
        </w:rPr>
      </w:pPr>
    </w:p>
    <w:p w14:paraId="7E7ECA4C" w14:textId="77777777" w:rsidR="00996219" w:rsidRDefault="00B03AB6" w:rsidP="00996219">
      <w:pPr>
        <w:pStyle w:val="Standard"/>
        <w:jc w:val="both"/>
        <w:rPr>
          <w:b/>
        </w:rPr>
      </w:pPr>
      <w:r>
        <w:rPr>
          <w:b/>
        </w:rPr>
        <w:t>FINANCIAL MARKETS AND THE EURO</w:t>
      </w:r>
    </w:p>
    <w:p w14:paraId="6123B58D" w14:textId="77777777" w:rsidR="00996219" w:rsidRDefault="00996219" w:rsidP="00996219">
      <w:pPr>
        <w:pStyle w:val="Standard"/>
        <w:jc w:val="both"/>
        <w:rPr>
          <w:b/>
        </w:rPr>
      </w:pPr>
    </w:p>
    <w:p w14:paraId="31F8CA73" w14:textId="77777777" w:rsidR="00996219" w:rsidRDefault="00996219" w:rsidP="00996219">
      <w:pPr>
        <w:pStyle w:val="Standard"/>
        <w:jc w:val="both"/>
      </w:pPr>
      <w:r>
        <w:t xml:space="preserve">This section analyzes the financial markets, how the financial services industry was transformed </w:t>
      </w:r>
      <w:r>
        <w:lastRenderedPageBreak/>
        <w:t xml:space="preserve">by the Single European act 1986 and by the adoption of a single currency, and how it has been fragmented by the crisis. The measures taken to deal with this unexpected development are presented and evaluated, including the creation of the Banking Union. </w:t>
      </w:r>
    </w:p>
    <w:p w14:paraId="307B6AA8" w14:textId="77777777" w:rsidR="00996219" w:rsidRDefault="00996219" w:rsidP="00996219">
      <w:pPr>
        <w:pStyle w:val="Standard"/>
        <w:jc w:val="both"/>
        <w:rPr>
          <w:b/>
        </w:rPr>
      </w:pPr>
    </w:p>
    <w:p w14:paraId="09B77073" w14:textId="77777777" w:rsidR="00996219" w:rsidRDefault="00B03AB6" w:rsidP="00996219">
      <w:pPr>
        <w:pStyle w:val="Standard"/>
        <w:jc w:val="both"/>
        <w:rPr>
          <w:b/>
        </w:rPr>
      </w:pPr>
      <w:r>
        <w:rPr>
          <w:b/>
        </w:rPr>
        <w:t>EUROZONE IN CRISIS</w:t>
      </w:r>
    </w:p>
    <w:p w14:paraId="5D618ED8" w14:textId="77777777" w:rsidR="00996219" w:rsidRDefault="00996219" w:rsidP="00996219">
      <w:pPr>
        <w:pStyle w:val="Standard"/>
        <w:jc w:val="both"/>
        <w:rPr>
          <w:b/>
        </w:rPr>
      </w:pPr>
    </w:p>
    <w:p w14:paraId="02B1CE9D" w14:textId="77777777" w:rsidR="00996219" w:rsidRPr="001B6F5D" w:rsidRDefault="00996219" w:rsidP="00996219">
      <w:pPr>
        <w:pStyle w:val="Standard"/>
        <w:jc w:val="both"/>
      </w:pPr>
      <w:r>
        <w:t xml:space="preserve">Finally, we take a look the Eurozone crisis, and how the global crisis that started in the U.S. was transmitted to Europe. The next step, the sovereign crisis, is then described and analyzed, bringing together much of the material presented before. The policy responses are presented and critically evaluated. </w:t>
      </w:r>
    </w:p>
    <w:p w14:paraId="7A4FFDDA" w14:textId="77777777" w:rsidR="00996219" w:rsidRDefault="00996219" w:rsidP="00996219">
      <w:pPr>
        <w:pStyle w:val="Standard"/>
        <w:jc w:val="both"/>
        <w:rPr>
          <w:b/>
        </w:rPr>
      </w:pPr>
    </w:p>
    <w:p w14:paraId="192252F6" w14:textId="4D7767CB" w:rsidR="007B68D3" w:rsidRDefault="007B68D3" w:rsidP="00DC79B6">
      <w:pPr>
        <w:widowControl/>
        <w:suppressAutoHyphens w:val="0"/>
        <w:autoSpaceDN/>
        <w:spacing w:after="160" w:line="259" w:lineRule="auto"/>
        <w:textAlignment w:val="auto"/>
      </w:pPr>
    </w:p>
    <w:sectPr w:rsidR="007B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19"/>
    <w:rsid w:val="00017EEF"/>
    <w:rsid w:val="000320C5"/>
    <w:rsid w:val="00046265"/>
    <w:rsid w:val="000F1E10"/>
    <w:rsid w:val="0019486C"/>
    <w:rsid w:val="00284E9C"/>
    <w:rsid w:val="002B47F5"/>
    <w:rsid w:val="003472BF"/>
    <w:rsid w:val="00377598"/>
    <w:rsid w:val="003977A8"/>
    <w:rsid w:val="004403FB"/>
    <w:rsid w:val="00484111"/>
    <w:rsid w:val="005B1D06"/>
    <w:rsid w:val="005E56EF"/>
    <w:rsid w:val="006C32E4"/>
    <w:rsid w:val="007A4213"/>
    <w:rsid w:val="007B68D3"/>
    <w:rsid w:val="00802210"/>
    <w:rsid w:val="00834174"/>
    <w:rsid w:val="00927CD7"/>
    <w:rsid w:val="00996219"/>
    <w:rsid w:val="00A5148C"/>
    <w:rsid w:val="00B03AB6"/>
    <w:rsid w:val="00BD2C55"/>
    <w:rsid w:val="00C45C16"/>
    <w:rsid w:val="00CD657F"/>
    <w:rsid w:val="00DC79B6"/>
    <w:rsid w:val="00DF1D65"/>
    <w:rsid w:val="00E902EA"/>
    <w:rsid w:val="00EC32C0"/>
    <w:rsid w:val="00EE51F9"/>
    <w:rsid w:val="00EE5EA0"/>
    <w:rsid w:val="00EF0882"/>
    <w:rsid w:val="00EF70CC"/>
    <w:rsid w:val="00F03A94"/>
    <w:rsid w:val="00F14442"/>
    <w:rsid w:val="00F5333B"/>
    <w:rsid w:val="00F617A2"/>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0034"/>
  <w15:chartTrackingRefBased/>
  <w15:docId w15:val="{1BB7A08A-383D-4C2B-88B5-240517DB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1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9621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996219"/>
    <w:pPr>
      <w:suppressLineNumbers/>
    </w:pPr>
  </w:style>
  <w:style w:type="character" w:styleId="Hyperlink">
    <w:name w:val="Hyperlink"/>
    <w:basedOn w:val="DefaultParagraphFont"/>
    <w:uiPriority w:val="99"/>
    <w:unhideWhenUsed/>
    <w:rsid w:val="00996219"/>
    <w:rPr>
      <w:color w:val="0563C1" w:themeColor="hyperlink"/>
      <w:u w:val="single"/>
    </w:rPr>
  </w:style>
  <w:style w:type="table" w:styleId="TableGrid">
    <w:name w:val="Table Grid"/>
    <w:basedOn w:val="TableNormal"/>
    <w:uiPriority w:val="39"/>
    <w:rsid w:val="006C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opa.eu/european-union/about-eu/histor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Lodovico Pizzati</dc:creator>
  <cp:keywords/>
  <dc:description/>
  <cp:lastModifiedBy>Lodovico Pizzati</cp:lastModifiedBy>
  <cp:revision>10</cp:revision>
  <cp:lastPrinted>2018-09-13T19:59:00Z</cp:lastPrinted>
  <dcterms:created xsi:type="dcterms:W3CDTF">2022-10-21T19:33:00Z</dcterms:created>
  <dcterms:modified xsi:type="dcterms:W3CDTF">2022-11-14T18:28:00Z</dcterms:modified>
</cp:coreProperties>
</file>