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EE68" w14:textId="77777777" w:rsidR="001475DB" w:rsidRDefault="001475DB" w:rsidP="001475DB">
      <w:pPr>
        <w:pStyle w:val="Heading1"/>
      </w:pPr>
      <w:r>
        <w:t xml:space="preserve">BISC 461- </w:t>
      </w:r>
      <w:r w:rsidR="00394464">
        <w:t>The C</w:t>
      </w:r>
      <w:r w:rsidR="00970A41">
        <w:t>ellular Basis of Learning and Memory</w:t>
      </w:r>
      <w:r>
        <w:t xml:space="preserve">  </w:t>
      </w:r>
    </w:p>
    <w:p w14:paraId="1BCF0B3D" w14:textId="0E96D1FD" w:rsidR="001475DB" w:rsidRDefault="001475DB" w:rsidP="001475DB">
      <w:r>
        <w:t>Fall 20</w:t>
      </w:r>
      <w:r w:rsidR="001F1C33">
        <w:t>2</w:t>
      </w:r>
      <w:r w:rsidR="00B44416">
        <w:t>2</w:t>
      </w:r>
    </w:p>
    <w:p w14:paraId="70EED596" w14:textId="77777777" w:rsidR="001475DB" w:rsidRDefault="001475DB" w:rsidP="001475DB"/>
    <w:p w14:paraId="1584BEB3" w14:textId="77777777" w:rsidR="001475DB" w:rsidRDefault="001475DB" w:rsidP="001475DB">
      <w:r>
        <w:t xml:space="preserve">This course covers </w:t>
      </w:r>
      <w:r w:rsidR="000914D0">
        <w:t>20</w:t>
      </w:r>
      <w:r>
        <w:t xml:space="preserve"> papers on </w:t>
      </w:r>
      <w:r w:rsidR="00970A41">
        <w:t>the cellular basis of learning and memory</w:t>
      </w:r>
      <w:r>
        <w:t xml:space="preserve">. Each week </w:t>
      </w:r>
      <w:r w:rsidR="009A5088">
        <w:t>a different student will present one of the papers listed below and will be responsible for explaining the technology used in the paper and the experiments that were performed. In addition, the student will lead a discussion on the relative merits of the paper.</w:t>
      </w:r>
    </w:p>
    <w:p w14:paraId="20949F63" w14:textId="77777777" w:rsidR="00AA415B" w:rsidRDefault="00AA415B" w:rsidP="001475DB"/>
    <w:p w14:paraId="00B361F3" w14:textId="77777777" w:rsidR="001475DB" w:rsidRDefault="001475DB" w:rsidP="001475DB">
      <w:r>
        <w:t xml:space="preserve">The following papers will be presented: </w:t>
      </w:r>
    </w:p>
    <w:p w14:paraId="7CC1579A" w14:textId="77777777" w:rsidR="001475DB" w:rsidRDefault="001475DB" w:rsidP="001475DB"/>
    <w:p w14:paraId="204AB538" w14:textId="77777777" w:rsidR="001475DB" w:rsidRDefault="001475DB" w:rsidP="001475DB">
      <w:r>
        <w:rPr>
          <w:b/>
          <w:bCs/>
        </w:rPr>
        <w:t>Papers</w:t>
      </w:r>
      <w:r>
        <w:t>:</w:t>
      </w:r>
    </w:p>
    <w:p w14:paraId="6D16F78A" w14:textId="77777777" w:rsidR="001475DB" w:rsidRDefault="001475DB" w:rsidP="001475DB"/>
    <w:p w14:paraId="25234CF0" w14:textId="77777777" w:rsidR="007E2F26" w:rsidRPr="00512415" w:rsidRDefault="007E2F26" w:rsidP="0063331B">
      <w:pPr>
        <w:numPr>
          <w:ilvl w:val="0"/>
          <w:numId w:val="7"/>
        </w:numPr>
        <w:rPr>
          <w:color w:val="000000"/>
        </w:rPr>
      </w:pPr>
      <w:proofErr w:type="spellStart"/>
      <w:r w:rsidRPr="007E2F26">
        <w:rPr>
          <w:color w:val="333333"/>
          <w:spacing w:val="2"/>
          <w:shd w:val="clear" w:color="auto" w:fill="FCFCFC"/>
        </w:rPr>
        <w:t>Kupfermann</w:t>
      </w:r>
      <w:proofErr w:type="spellEnd"/>
      <w:r w:rsidRPr="007E2F26">
        <w:rPr>
          <w:color w:val="333333"/>
          <w:spacing w:val="2"/>
          <w:shd w:val="clear" w:color="auto" w:fill="FCFCFC"/>
        </w:rPr>
        <w:t xml:space="preserve">, I., </w:t>
      </w:r>
      <w:proofErr w:type="spellStart"/>
      <w:r w:rsidRPr="007E2F26">
        <w:rPr>
          <w:color w:val="333333"/>
          <w:spacing w:val="2"/>
          <w:shd w:val="clear" w:color="auto" w:fill="FCFCFC"/>
        </w:rPr>
        <w:t>Castellucci</w:t>
      </w:r>
      <w:proofErr w:type="spellEnd"/>
      <w:r w:rsidRPr="007E2F26">
        <w:rPr>
          <w:color w:val="333333"/>
          <w:spacing w:val="2"/>
          <w:shd w:val="clear" w:color="auto" w:fill="FCFCFC"/>
        </w:rPr>
        <w:t xml:space="preserve">, V., </w:t>
      </w:r>
      <w:proofErr w:type="spellStart"/>
      <w:r w:rsidRPr="007E2F26">
        <w:rPr>
          <w:color w:val="333333"/>
          <w:spacing w:val="2"/>
          <w:shd w:val="clear" w:color="auto" w:fill="FCFCFC"/>
        </w:rPr>
        <w:t>Pinsker</w:t>
      </w:r>
      <w:proofErr w:type="spellEnd"/>
      <w:r w:rsidRPr="007E2F26">
        <w:rPr>
          <w:color w:val="333333"/>
          <w:spacing w:val="2"/>
          <w:shd w:val="clear" w:color="auto" w:fill="FCFCFC"/>
        </w:rPr>
        <w:t>, H., and Kandel, E. R. (1970) Neuronal correlates of habituation and dishabituation of the gill-withdrawal reflex in </w:t>
      </w:r>
      <w:r w:rsidRPr="007E2F26">
        <w:rPr>
          <w:rStyle w:val="Emphasis"/>
          <w:color w:val="333333"/>
          <w:spacing w:val="2"/>
          <w:shd w:val="clear" w:color="auto" w:fill="FCFCFC"/>
        </w:rPr>
        <w:t>Aplysia</w:t>
      </w:r>
      <w:r w:rsidRPr="007E2F26">
        <w:rPr>
          <w:color w:val="333333"/>
          <w:spacing w:val="2"/>
          <w:shd w:val="clear" w:color="auto" w:fill="FCFCFC"/>
        </w:rPr>
        <w:t>. </w:t>
      </w:r>
      <w:r w:rsidRPr="007E2F26">
        <w:rPr>
          <w:rStyle w:val="Emphasis"/>
          <w:color w:val="333333"/>
          <w:spacing w:val="2"/>
          <w:shd w:val="clear" w:color="auto" w:fill="FCFCFC"/>
        </w:rPr>
        <w:t>Science</w:t>
      </w:r>
      <w:r w:rsidRPr="007E2F26">
        <w:rPr>
          <w:color w:val="333333"/>
          <w:spacing w:val="2"/>
          <w:shd w:val="clear" w:color="auto" w:fill="FCFCFC"/>
        </w:rPr>
        <w:t> </w:t>
      </w:r>
      <w:r w:rsidRPr="007E2F26">
        <w:rPr>
          <w:rStyle w:val="Strong"/>
          <w:color w:val="333333"/>
          <w:spacing w:val="2"/>
          <w:shd w:val="clear" w:color="auto" w:fill="FCFCFC"/>
        </w:rPr>
        <w:t>167</w:t>
      </w:r>
      <w:r w:rsidRPr="007E2F26">
        <w:rPr>
          <w:color w:val="333333"/>
          <w:spacing w:val="2"/>
          <w:shd w:val="clear" w:color="auto" w:fill="FCFCFC"/>
        </w:rPr>
        <w:t>: 1743–1745.</w:t>
      </w:r>
    </w:p>
    <w:p w14:paraId="564B6AED" w14:textId="77777777" w:rsidR="007E2F26" w:rsidRPr="007E2F26" w:rsidRDefault="007E2F26" w:rsidP="007E2F26">
      <w:pPr>
        <w:ind w:left="720"/>
        <w:rPr>
          <w:color w:val="000000"/>
        </w:rPr>
      </w:pPr>
    </w:p>
    <w:p w14:paraId="2651FAD6" w14:textId="77777777" w:rsidR="003969F2" w:rsidRPr="007E2F26" w:rsidRDefault="00AA415B" w:rsidP="0063331B">
      <w:pPr>
        <w:ind w:left="720"/>
        <w:rPr>
          <w:color w:val="000000"/>
        </w:rPr>
      </w:pPr>
      <w:proofErr w:type="spellStart"/>
      <w:r w:rsidRPr="007E2F26">
        <w:rPr>
          <w:color w:val="000000"/>
        </w:rPr>
        <w:t>Castellucci</w:t>
      </w:r>
      <w:proofErr w:type="spellEnd"/>
      <w:r w:rsidRPr="007E2F26">
        <w:rPr>
          <w:color w:val="000000"/>
        </w:rPr>
        <w:t xml:space="preserve">, V.F. et al. </w:t>
      </w:r>
      <w:r w:rsidRPr="007E2F26">
        <w:rPr>
          <w:rFonts w:eastAsia="Calibri"/>
        </w:rPr>
        <w:t xml:space="preserve">Cellular analysis of long-term habituation of the gill-withdrawal reflex of Aplysia californica (1978) </w:t>
      </w:r>
      <w:r w:rsidRPr="007E2F26">
        <w:rPr>
          <w:rFonts w:eastAsia="Calibri"/>
          <w:b/>
        </w:rPr>
        <w:t xml:space="preserve">Science </w:t>
      </w:r>
      <w:r w:rsidRPr="007E2F26">
        <w:rPr>
          <w:rFonts w:eastAsia="Calibri"/>
        </w:rPr>
        <w:t>202:1306-8.</w:t>
      </w:r>
    </w:p>
    <w:p w14:paraId="3210BD6F" w14:textId="77777777" w:rsidR="007E2F26" w:rsidRPr="007E2F26" w:rsidRDefault="007E2F26" w:rsidP="007E2F26">
      <w:pPr>
        <w:ind w:left="720"/>
        <w:rPr>
          <w:color w:val="000000"/>
        </w:rPr>
      </w:pPr>
    </w:p>
    <w:p w14:paraId="47400F0F" w14:textId="77777777" w:rsidR="00AA415B" w:rsidRDefault="00AA415B" w:rsidP="00AA415B">
      <w:pPr>
        <w:numPr>
          <w:ilvl w:val="0"/>
          <w:numId w:val="7"/>
        </w:numPr>
        <w:rPr>
          <w:color w:val="000000"/>
        </w:rPr>
      </w:pPr>
      <w:r w:rsidRPr="007E2F26">
        <w:rPr>
          <w:color w:val="000000"/>
        </w:rPr>
        <w:t xml:space="preserve">Morris, R.G.M. et al. Place navigation impaired in rats with hippocampal lesions (1982) </w:t>
      </w:r>
      <w:r w:rsidRPr="00127E18">
        <w:rPr>
          <w:b/>
          <w:color w:val="000000"/>
        </w:rPr>
        <w:t>Nature</w:t>
      </w:r>
      <w:r w:rsidRPr="007E2F26">
        <w:rPr>
          <w:color w:val="000000"/>
        </w:rPr>
        <w:t xml:space="preserve"> 297:681-683.</w:t>
      </w:r>
    </w:p>
    <w:p w14:paraId="7F8E9414" w14:textId="77777777" w:rsidR="00512415" w:rsidRDefault="00512415" w:rsidP="00512415">
      <w:pPr>
        <w:pStyle w:val="ListParagraph"/>
        <w:rPr>
          <w:color w:val="000000"/>
        </w:rPr>
      </w:pPr>
    </w:p>
    <w:p w14:paraId="1BD3B71B" w14:textId="77777777" w:rsidR="007E2F26" w:rsidRPr="00512415" w:rsidRDefault="00512415" w:rsidP="0063331B">
      <w:pPr>
        <w:ind w:left="720"/>
        <w:rPr>
          <w:color w:val="000000"/>
        </w:rPr>
      </w:pPr>
      <w:r w:rsidRPr="00512415">
        <w:rPr>
          <w:color w:val="000000"/>
        </w:rPr>
        <w:t xml:space="preserve">Morris, R.G.M et al. </w:t>
      </w:r>
      <w:r>
        <w:t xml:space="preserve">Selective impairment of learning and blockade of long-term potentiation by an N-methyl-D-aspartate receptor antagonist, AP5 </w:t>
      </w:r>
      <w:r w:rsidR="00CE7CFE">
        <w:t xml:space="preserve">(1986) </w:t>
      </w:r>
      <w:r w:rsidRPr="00512415">
        <w:rPr>
          <w:b/>
        </w:rPr>
        <w:t>Nature</w:t>
      </w:r>
      <w:r>
        <w:t xml:space="preserve"> 319:774-776.</w:t>
      </w:r>
    </w:p>
    <w:p w14:paraId="242459C2" w14:textId="77777777" w:rsidR="00512415" w:rsidRPr="00512415" w:rsidRDefault="00512415" w:rsidP="00512415">
      <w:pPr>
        <w:rPr>
          <w:color w:val="000000"/>
        </w:rPr>
      </w:pPr>
    </w:p>
    <w:p w14:paraId="21941DE0" w14:textId="77777777" w:rsidR="00AA415B" w:rsidRDefault="00AA415B" w:rsidP="00AA415B">
      <w:pPr>
        <w:numPr>
          <w:ilvl w:val="0"/>
          <w:numId w:val="7"/>
        </w:numPr>
        <w:rPr>
          <w:color w:val="000000"/>
        </w:rPr>
      </w:pPr>
      <w:proofErr w:type="spellStart"/>
      <w:r w:rsidRPr="007E2F26">
        <w:rPr>
          <w:color w:val="000000"/>
        </w:rPr>
        <w:t>Malenka</w:t>
      </w:r>
      <w:proofErr w:type="spellEnd"/>
      <w:r w:rsidRPr="007E2F26">
        <w:rPr>
          <w:color w:val="000000"/>
        </w:rPr>
        <w:t xml:space="preserve">, R.C. et al. </w:t>
      </w:r>
      <w:r w:rsidR="00A27515" w:rsidRPr="007E2F26">
        <w:rPr>
          <w:color w:val="000000"/>
        </w:rPr>
        <w:t>Postsynaptic Calcium is Sufficient for P</w:t>
      </w:r>
      <w:r w:rsidRPr="007E2F26">
        <w:rPr>
          <w:color w:val="000000"/>
        </w:rPr>
        <w:t>otent</w:t>
      </w:r>
      <w:r w:rsidR="00A27515" w:rsidRPr="007E2F26">
        <w:rPr>
          <w:color w:val="000000"/>
        </w:rPr>
        <w:t>iation of H</w:t>
      </w:r>
      <w:r w:rsidRPr="007E2F26">
        <w:rPr>
          <w:color w:val="000000"/>
        </w:rPr>
        <w:t xml:space="preserve">ippocampal transmission (1988) </w:t>
      </w:r>
      <w:r w:rsidRPr="007E2F26">
        <w:rPr>
          <w:b/>
          <w:color w:val="000000"/>
        </w:rPr>
        <w:t>Science</w:t>
      </w:r>
      <w:r w:rsidR="00127E18">
        <w:rPr>
          <w:color w:val="000000"/>
        </w:rPr>
        <w:t xml:space="preserve"> 242:</w:t>
      </w:r>
      <w:r w:rsidRPr="007E2F26">
        <w:rPr>
          <w:color w:val="000000"/>
        </w:rPr>
        <w:t>81-84.</w:t>
      </w:r>
    </w:p>
    <w:p w14:paraId="4A4AEF45" w14:textId="77777777" w:rsidR="00127E18" w:rsidRDefault="00127E18" w:rsidP="00127E18">
      <w:pPr>
        <w:pStyle w:val="ListParagraph"/>
        <w:rPr>
          <w:color w:val="000000"/>
        </w:rPr>
      </w:pPr>
    </w:p>
    <w:p w14:paraId="37C9FC30" w14:textId="77777777" w:rsidR="00127E18" w:rsidRPr="00127E18" w:rsidRDefault="00127E18" w:rsidP="0063331B">
      <w:pPr>
        <w:ind w:left="720"/>
        <w:rPr>
          <w:color w:val="000000"/>
        </w:rPr>
      </w:pPr>
      <w:r>
        <w:t xml:space="preserve">Bayer, K.U. et al. Interaction with the NMDA receptor locks CaMKII in an active conformation (2001) </w:t>
      </w:r>
      <w:r w:rsidRPr="00127E18">
        <w:rPr>
          <w:b/>
        </w:rPr>
        <w:t>N</w:t>
      </w:r>
      <w:r>
        <w:rPr>
          <w:b/>
        </w:rPr>
        <w:t xml:space="preserve">ature </w:t>
      </w:r>
      <w:r w:rsidRPr="00127E18">
        <w:t>411:801-805</w:t>
      </w:r>
    </w:p>
    <w:p w14:paraId="5ADC9A46" w14:textId="77777777" w:rsidR="007E2F26" w:rsidRPr="007E2F26" w:rsidRDefault="007E2F26" w:rsidP="007E2F26">
      <w:pPr>
        <w:rPr>
          <w:color w:val="000000"/>
        </w:rPr>
      </w:pPr>
    </w:p>
    <w:p w14:paraId="5C174B4A" w14:textId="77777777" w:rsidR="00AA415B" w:rsidRPr="007E2F26" w:rsidRDefault="00A27515" w:rsidP="00AA415B">
      <w:pPr>
        <w:numPr>
          <w:ilvl w:val="0"/>
          <w:numId w:val="7"/>
        </w:numPr>
        <w:rPr>
          <w:color w:val="000000"/>
        </w:rPr>
      </w:pPr>
      <w:r w:rsidRPr="007E2F26">
        <w:rPr>
          <w:color w:val="000000"/>
        </w:rPr>
        <w:t xml:space="preserve">Silva, A. J. et al. Deficient Hippocampal Long-Term Potentiation in a-Calcium –Calmodulin Kinase II Mutant Mice (1992) </w:t>
      </w:r>
      <w:r w:rsidRPr="007E2F26">
        <w:rPr>
          <w:b/>
          <w:color w:val="000000"/>
        </w:rPr>
        <w:t xml:space="preserve">Science </w:t>
      </w:r>
      <w:r w:rsidRPr="007E2F26">
        <w:rPr>
          <w:color w:val="000000"/>
        </w:rPr>
        <w:t>257:201-206.</w:t>
      </w:r>
    </w:p>
    <w:p w14:paraId="04B04A40" w14:textId="77777777" w:rsidR="007E2F26" w:rsidRPr="007E2F26" w:rsidRDefault="007E2F26" w:rsidP="007E2F26">
      <w:pPr>
        <w:rPr>
          <w:color w:val="000000"/>
        </w:rPr>
      </w:pPr>
    </w:p>
    <w:p w14:paraId="7A1D3018" w14:textId="77777777" w:rsidR="003E045F" w:rsidRPr="007E2F26" w:rsidRDefault="00A27515" w:rsidP="0063331B">
      <w:pPr>
        <w:ind w:left="720"/>
        <w:rPr>
          <w:color w:val="000000"/>
        </w:rPr>
      </w:pPr>
      <w:r w:rsidRPr="007E2F26">
        <w:t xml:space="preserve">Silva, A. J. et al. Impaired Spatial Learning in α-Calcium-Calmodulin Kinase II Mutant Mice (1992) </w:t>
      </w:r>
      <w:r w:rsidRPr="007E2F26">
        <w:rPr>
          <w:b/>
        </w:rPr>
        <w:t>Science</w:t>
      </w:r>
      <w:r w:rsidR="0080791C">
        <w:t xml:space="preserve"> 257:</w:t>
      </w:r>
      <w:r w:rsidRPr="007E2F26">
        <w:t>206-211.</w:t>
      </w:r>
    </w:p>
    <w:p w14:paraId="4CCB076C" w14:textId="77777777" w:rsidR="007E2F26" w:rsidRPr="007E2F26" w:rsidRDefault="007E2F26" w:rsidP="007E2F26">
      <w:pPr>
        <w:pStyle w:val="ListParagraph"/>
        <w:rPr>
          <w:color w:val="000000"/>
        </w:rPr>
      </w:pPr>
    </w:p>
    <w:p w14:paraId="23E89A12" w14:textId="77777777" w:rsidR="007E2F26" w:rsidRPr="00360CD0" w:rsidRDefault="007E2F26" w:rsidP="007E2F26">
      <w:pPr>
        <w:numPr>
          <w:ilvl w:val="0"/>
          <w:numId w:val="7"/>
        </w:numPr>
        <w:rPr>
          <w:color w:val="000000"/>
        </w:rPr>
      </w:pPr>
      <w:r w:rsidRPr="007E2F26">
        <w:rPr>
          <w:color w:val="000000"/>
        </w:rPr>
        <w:t xml:space="preserve">Phillips, R.G. and LeDoux, J.E. </w:t>
      </w:r>
      <w:r w:rsidRPr="007E2F26">
        <w:rPr>
          <w:rFonts w:eastAsia="Calibri"/>
        </w:rPr>
        <w:t>Differential Contribution of Amygdala and Hippocampus to Cued and</w:t>
      </w:r>
      <w:r w:rsidRPr="007E2F26">
        <w:rPr>
          <w:color w:val="000000"/>
        </w:rPr>
        <w:t xml:space="preserve"> </w:t>
      </w:r>
      <w:r w:rsidRPr="007E2F26">
        <w:rPr>
          <w:rFonts w:eastAsia="Calibri"/>
        </w:rPr>
        <w:t>Contextual Fear Conditioning 106:274-285.</w:t>
      </w:r>
    </w:p>
    <w:p w14:paraId="2D6B643B" w14:textId="77777777" w:rsidR="00360CD0" w:rsidRDefault="00360CD0" w:rsidP="00360CD0">
      <w:pPr>
        <w:pStyle w:val="ListParagraph"/>
        <w:rPr>
          <w:color w:val="000000"/>
        </w:rPr>
      </w:pPr>
    </w:p>
    <w:p w14:paraId="0BF0EE0C" w14:textId="77777777" w:rsidR="00360CD0" w:rsidRPr="0063331B" w:rsidRDefault="00360CD0" w:rsidP="00360CD0">
      <w:pPr>
        <w:numPr>
          <w:ilvl w:val="0"/>
          <w:numId w:val="7"/>
        </w:numPr>
        <w:rPr>
          <w:color w:val="000000"/>
        </w:rPr>
      </w:pPr>
      <w:r w:rsidRPr="00360CD0">
        <w:rPr>
          <w:rFonts w:eastAsia="Calibri"/>
        </w:rPr>
        <w:t>Rogan, M. T. &amp; LeDoux, J. E. LTP is accompanied by commensurate enhancement of auditory-evoked</w:t>
      </w:r>
      <w:r>
        <w:rPr>
          <w:color w:val="000000"/>
        </w:rPr>
        <w:t xml:space="preserve"> </w:t>
      </w:r>
      <w:r w:rsidRPr="00360CD0">
        <w:rPr>
          <w:rFonts w:eastAsia="Calibri"/>
        </w:rPr>
        <w:t xml:space="preserve">responses in a fear conditioning circuit. </w:t>
      </w:r>
      <w:r w:rsidRPr="0080791C">
        <w:rPr>
          <w:rFonts w:eastAsia="Calibri"/>
          <w:b/>
          <w:iCs/>
        </w:rPr>
        <w:t>Neuron</w:t>
      </w:r>
      <w:r w:rsidRPr="00360CD0">
        <w:rPr>
          <w:rFonts w:eastAsia="Calibri"/>
          <w:i/>
          <w:iCs/>
        </w:rPr>
        <w:t xml:space="preserve"> </w:t>
      </w:r>
      <w:r w:rsidRPr="0080791C">
        <w:rPr>
          <w:rFonts w:eastAsia="Calibri"/>
          <w:bCs/>
        </w:rPr>
        <w:t>15</w:t>
      </w:r>
      <w:r w:rsidR="0080791C">
        <w:rPr>
          <w:rFonts w:eastAsia="Calibri"/>
          <w:b/>
          <w:bCs/>
        </w:rPr>
        <w:t>:</w:t>
      </w:r>
      <w:r w:rsidRPr="00360CD0">
        <w:rPr>
          <w:rFonts w:eastAsia="Calibri"/>
        </w:rPr>
        <w:t>127–136 (1995).</w:t>
      </w:r>
    </w:p>
    <w:p w14:paraId="34E90832" w14:textId="77777777" w:rsidR="0063331B" w:rsidRDefault="0063331B" w:rsidP="0063331B">
      <w:pPr>
        <w:pStyle w:val="ListParagraph"/>
        <w:rPr>
          <w:color w:val="000000"/>
        </w:rPr>
      </w:pPr>
    </w:p>
    <w:p w14:paraId="6AEC24BA" w14:textId="77777777" w:rsidR="0063331B" w:rsidRPr="0063331B" w:rsidRDefault="0063331B" w:rsidP="0063331B">
      <w:pPr>
        <w:numPr>
          <w:ilvl w:val="0"/>
          <w:numId w:val="7"/>
        </w:numPr>
        <w:rPr>
          <w:color w:val="000000"/>
        </w:rPr>
      </w:pPr>
      <w:r>
        <w:lastRenderedPageBreak/>
        <w:t xml:space="preserve">Martin, K.C. et al. </w:t>
      </w:r>
      <w:hyperlink r:id="rId5" w:history="1">
        <w:r w:rsidRPr="0063331B">
          <w:rPr>
            <w:rStyle w:val="Hyperlink"/>
            <w:color w:val="auto"/>
            <w:u w:val="none"/>
            <w:shd w:val="clear" w:color="auto" w:fill="FFFFFF"/>
          </w:rPr>
          <w:t xml:space="preserve">Synapse-specific, long-term facilitation of </w:t>
        </w:r>
        <w:proofErr w:type="spellStart"/>
        <w:r w:rsidRPr="0063331B">
          <w:rPr>
            <w:rStyle w:val="Hyperlink"/>
            <w:color w:val="auto"/>
            <w:u w:val="none"/>
            <w:shd w:val="clear" w:color="auto" w:fill="FFFFFF"/>
          </w:rPr>
          <w:t>aplysia</w:t>
        </w:r>
        <w:proofErr w:type="spellEnd"/>
        <w:r w:rsidRPr="0063331B">
          <w:rPr>
            <w:rStyle w:val="Hyperlink"/>
            <w:color w:val="auto"/>
            <w:u w:val="none"/>
            <w:shd w:val="clear" w:color="auto" w:fill="FFFFFF"/>
          </w:rPr>
          <w:t xml:space="preserve"> sensory to motor synapses: a function for local protein synthesis in memory storage.</w:t>
        </w:r>
      </w:hyperlink>
      <w:r>
        <w:t xml:space="preserve"> (1997) </w:t>
      </w:r>
      <w:r w:rsidRPr="0063331B">
        <w:rPr>
          <w:b/>
        </w:rPr>
        <w:t xml:space="preserve">Cell </w:t>
      </w:r>
      <w:r>
        <w:t>91:927-38.</w:t>
      </w:r>
    </w:p>
    <w:p w14:paraId="0049E71D" w14:textId="77777777" w:rsidR="0080791C" w:rsidRPr="0080791C" w:rsidRDefault="0080791C" w:rsidP="0080791C">
      <w:pPr>
        <w:pStyle w:val="ListParagraph"/>
        <w:rPr>
          <w:color w:val="000000"/>
        </w:rPr>
      </w:pPr>
    </w:p>
    <w:p w14:paraId="2E33FA9C" w14:textId="77777777" w:rsidR="0080791C" w:rsidRPr="0063331B" w:rsidRDefault="0080791C" w:rsidP="005C6476">
      <w:pPr>
        <w:numPr>
          <w:ilvl w:val="0"/>
          <w:numId w:val="7"/>
        </w:numPr>
        <w:rPr>
          <w:color w:val="000000"/>
        </w:rPr>
      </w:pPr>
      <w:proofErr w:type="spellStart"/>
      <w:r w:rsidRPr="0080791C">
        <w:rPr>
          <w:rFonts w:eastAsia="Calibri"/>
        </w:rPr>
        <w:t>Maletic-Savatic</w:t>
      </w:r>
      <w:proofErr w:type="spellEnd"/>
      <w:r w:rsidRPr="0080791C">
        <w:rPr>
          <w:rFonts w:eastAsia="Calibri"/>
        </w:rPr>
        <w:t xml:space="preserve"> et al. </w:t>
      </w:r>
      <w:r w:rsidRPr="0080791C">
        <w:rPr>
          <w:rFonts w:eastAsia="Calibri"/>
          <w:bCs/>
        </w:rPr>
        <w:t xml:space="preserve">Rapid Dendritic Morphogenesis in CA1 Hippocampal Dendrites Induced by Synaptic Activity </w:t>
      </w:r>
      <w:r w:rsidRPr="0080791C">
        <w:rPr>
          <w:rFonts w:eastAsia="Calibri"/>
          <w:b/>
          <w:iCs/>
        </w:rPr>
        <w:t>Science</w:t>
      </w:r>
      <w:r w:rsidRPr="0080791C">
        <w:rPr>
          <w:rFonts w:eastAsia="Calibri"/>
          <w:i/>
          <w:iCs/>
        </w:rPr>
        <w:t xml:space="preserve"> </w:t>
      </w:r>
      <w:r w:rsidRPr="0080791C">
        <w:rPr>
          <w:rFonts w:eastAsia="Calibri"/>
          <w:bCs/>
        </w:rPr>
        <w:t>283</w:t>
      </w:r>
      <w:r>
        <w:rPr>
          <w:rFonts w:eastAsia="Calibri"/>
        </w:rPr>
        <w:t>:</w:t>
      </w:r>
      <w:r w:rsidRPr="0080791C">
        <w:rPr>
          <w:rFonts w:eastAsia="Calibri"/>
        </w:rPr>
        <w:t>1923-1927</w:t>
      </w:r>
      <w:r>
        <w:rPr>
          <w:rFonts w:eastAsia="Calibri"/>
        </w:rPr>
        <w:t>.</w:t>
      </w:r>
    </w:p>
    <w:p w14:paraId="1B21F98F" w14:textId="77777777" w:rsidR="0063331B" w:rsidRDefault="0063331B" w:rsidP="0063331B">
      <w:pPr>
        <w:pStyle w:val="ListParagraph"/>
        <w:rPr>
          <w:color w:val="000000"/>
        </w:rPr>
      </w:pPr>
    </w:p>
    <w:p w14:paraId="016F9E5F" w14:textId="77777777" w:rsidR="00557796" w:rsidRDefault="0063331B" w:rsidP="0063331B">
      <w:pPr>
        <w:ind w:left="720"/>
        <w:rPr>
          <w:rFonts w:eastAsia="Calibri"/>
        </w:rPr>
      </w:pPr>
      <w:proofErr w:type="spellStart"/>
      <w:r>
        <w:rPr>
          <w:rFonts w:eastAsia="Calibri"/>
        </w:rPr>
        <w:t>Engert</w:t>
      </w:r>
      <w:proofErr w:type="spellEnd"/>
      <w:r>
        <w:rPr>
          <w:rFonts w:eastAsia="Calibri"/>
        </w:rPr>
        <w:t xml:space="preserve">, F. and Bonhoeffer, T. </w:t>
      </w:r>
      <w:r w:rsidRPr="0063331B">
        <w:rPr>
          <w:rFonts w:eastAsia="Calibri"/>
        </w:rPr>
        <w:t>Dendritic spine changes</w:t>
      </w:r>
      <w:r w:rsidRPr="0063331B">
        <w:rPr>
          <w:color w:val="000000"/>
        </w:rPr>
        <w:t xml:space="preserve"> </w:t>
      </w:r>
      <w:r w:rsidRPr="0063331B">
        <w:rPr>
          <w:rFonts w:eastAsia="Calibri"/>
        </w:rPr>
        <w:t>associated with hippocampal long-term synaptic plasticity</w:t>
      </w:r>
      <w:r>
        <w:rPr>
          <w:rFonts w:eastAsia="Calibri"/>
        </w:rPr>
        <w:t xml:space="preserve"> (1999) </w:t>
      </w:r>
      <w:r w:rsidRPr="0063331B">
        <w:rPr>
          <w:rFonts w:eastAsia="Calibri"/>
          <w:b/>
        </w:rPr>
        <w:t>Nature</w:t>
      </w:r>
      <w:r>
        <w:rPr>
          <w:rFonts w:eastAsia="Calibri"/>
        </w:rPr>
        <w:t xml:space="preserve"> 399:66-70.</w:t>
      </w:r>
    </w:p>
    <w:p w14:paraId="321B5790" w14:textId="77777777" w:rsidR="0063331B" w:rsidRDefault="0063331B" w:rsidP="0063331B">
      <w:pPr>
        <w:ind w:left="720"/>
        <w:rPr>
          <w:rFonts w:eastAsia="Calibri"/>
        </w:rPr>
      </w:pPr>
    </w:p>
    <w:p w14:paraId="5DFAF9DE" w14:textId="77777777" w:rsidR="00C4140F" w:rsidRPr="0063331B" w:rsidRDefault="00360CD0" w:rsidP="0063331B">
      <w:pPr>
        <w:numPr>
          <w:ilvl w:val="0"/>
          <w:numId w:val="7"/>
        </w:numPr>
        <w:rPr>
          <w:color w:val="000000"/>
        </w:rPr>
      </w:pPr>
      <w:r w:rsidRPr="0063331B">
        <w:rPr>
          <w:rFonts w:eastAsia="Calibri"/>
          <w:bCs/>
        </w:rPr>
        <w:t xml:space="preserve">Shi, S-H. et al. </w:t>
      </w:r>
      <w:r w:rsidR="00C4140F" w:rsidRPr="0063331B">
        <w:rPr>
          <w:rFonts w:eastAsia="Calibri"/>
          <w:bCs/>
        </w:rPr>
        <w:t>Rapid Dendritic Morphogenesis in CA1 Hippocampal Dendrites Induced by Synaptic</w:t>
      </w:r>
      <w:r w:rsidRPr="0063331B">
        <w:rPr>
          <w:rFonts w:eastAsia="Calibri"/>
          <w:bCs/>
        </w:rPr>
        <w:t xml:space="preserve"> NMDA receptor activation (1999) </w:t>
      </w:r>
      <w:r w:rsidRPr="0063331B">
        <w:rPr>
          <w:rFonts w:eastAsia="Calibri"/>
          <w:b/>
          <w:bCs/>
        </w:rPr>
        <w:t>Science</w:t>
      </w:r>
      <w:r w:rsidRPr="0063331B">
        <w:rPr>
          <w:rFonts w:eastAsia="Calibri"/>
          <w:bCs/>
        </w:rPr>
        <w:t xml:space="preserve"> 284:1811-1815.</w:t>
      </w:r>
    </w:p>
    <w:p w14:paraId="005094BA" w14:textId="77777777" w:rsidR="00A012B7" w:rsidRDefault="00A012B7" w:rsidP="00A012B7">
      <w:pPr>
        <w:pStyle w:val="ListParagraph"/>
        <w:rPr>
          <w:color w:val="000000"/>
        </w:rPr>
      </w:pPr>
    </w:p>
    <w:p w14:paraId="2E6661E9" w14:textId="77777777" w:rsidR="001A4033" w:rsidRDefault="00A012B7" w:rsidP="0063331B">
      <w:pPr>
        <w:ind w:left="720"/>
        <w:rPr>
          <w:rFonts w:eastAsia="Calibri"/>
        </w:rPr>
      </w:pPr>
      <w:proofErr w:type="spellStart"/>
      <w:r>
        <w:rPr>
          <w:rFonts w:eastAsia="Calibri"/>
        </w:rPr>
        <w:t>Matsuzaki</w:t>
      </w:r>
      <w:proofErr w:type="spellEnd"/>
      <w:r>
        <w:rPr>
          <w:rFonts w:eastAsia="Calibri"/>
        </w:rPr>
        <w:t xml:space="preserve">, M. et al. </w:t>
      </w:r>
      <w:r w:rsidRPr="00A012B7">
        <w:rPr>
          <w:rFonts w:eastAsia="Calibri"/>
        </w:rPr>
        <w:t>Structural basis of long-term</w:t>
      </w:r>
      <w:r w:rsidRPr="00A012B7">
        <w:rPr>
          <w:color w:val="000000"/>
        </w:rPr>
        <w:t xml:space="preserve"> </w:t>
      </w:r>
      <w:r w:rsidRPr="00A012B7">
        <w:rPr>
          <w:rFonts w:eastAsia="Calibri"/>
        </w:rPr>
        <w:t>potentiation in single dendritic spines</w:t>
      </w:r>
      <w:r>
        <w:rPr>
          <w:rFonts w:eastAsia="Calibri"/>
        </w:rPr>
        <w:t xml:space="preserve"> </w:t>
      </w:r>
      <w:r w:rsidR="002D6D9B">
        <w:rPr>
          <w:rFonts w:eastAsia="Calibri"/>
        </w:rPr>
        <w:t xml:space="preserve">(2004) </w:t>
      </w:r>
      <w:r w:rsidRPr="00A012B7">
        <w:rPr>
          <w:rFonts w:eastAsia="Calibri"/>
          <w:b/>
        </w:rPr>
        <w:t xml:space="preserve">Nature </w:t>
      </w:r>
      <w:r>
        <w:rPr>
          <w:rFonts w:eastAsia="Calibri"/>
        </w:rPr>
        <w:t>429:761-766.</w:t>
      </w:r>
    </w:p>
    <w:p w14:paraId="28C70648" w14:textId="77777777" w:rsidR="0063331B" w:rsidRDefault="0063331B" w:rsidP="0063331B">
      <w:pPr>
        <w:ind w:left="720"/>
        <w:rPr>
          <w:rFonts w:eastAsia="Calibri"/>
        </w:rPr>
      </w:pPr>
    </w:p>
    <w:p w14:paraId="7648C9D3" w14:textId="77777777" w:rsidR="001A4033" w:rsidRPr="0063331B" w:rsidRDefault="001A4033" w:rsidP="0063331B">
      <w:pPr>
        <w:numPr>
          <w:ilvl w:val="0"/>
          <w:numId w:val="7"/>
        </w:numPr>
        <w:rPr>
          <w:color w:val="000000"/>
        </w:rPr>
      </w:pPr>
      <w:r w:rsidRPr="0063331B">
        <w:rPr>
          <w:color w:val="000000"/>
        </w:rPr>
        <w:t xml:space="preserve">Liu, X. et al. </w:t>
      </w:r>
      <w:r w:rsidRPr="0063331B">
        <w:rPr>
          <w:rFonts w:eastAsia="Calibri"/>
        </w:rPr>
        <w:t>Optogenetic stimulation of a hippocampal engram</w:t>
      </w:r>
      <w:r w:rsidRPr="0063331B">
        <w:rPr>
          <w:color w:val="000000"/>
        </w:rPr>
        <w:t xml:space="preserve"> </w:t>
      </w:r>
      <w:r w:rsidRPr="0063331B">
        <w:rPr>
          <w:rFonts w:eastAsia="Calibri"/>
        </w:rPr>
        <w:t xml:space="preserve">activates fear memory recall </w:t>
      </w:r>
      <w:r w:rsidR="002D6D9B" w:rsidRPr="0063331B">
        <w:rPr>
          <w:rFonts w:eastAsia="Calibri"/>
        </w:rPr>
        <w:t xml:space="preserve">(2012) </w:t>
      </w:r>
      <w:r w:rsidRPr="0063331B">
        <w:rPr>
          <w:rFonts w:eastAsia="Calibri"/>
          <w:b/>
        </w:rPr>
        <w:t>Nature</w:t>
      </w:r>
      <w:r w:rsidRPr="0063331B">
        <w:rPr>
          <w:rFonts w:eastAsia="Calibri"/>
        </w:rPr>
        <w:t xml:space="preserve"> 484:381-385.</w:t>
      </w:r>
    </w:p>
    <w:p w14:paraId="6173A367" w14:textId="77777777" w:rsidR="0063331B" w:rsidRPr="0063331B" w:rsidRDefault="0063331B" w:rsidP="0063331B">
      <w:pPr>
        <w:ind w:left="720"/>
        <w:rPr>
          <w:color w:val="000000"/>
        </w:rPr>
      </w:pPr>
    </w:p>
    <w:p w14:paraId="2C509B15" w14:textId="77777777" w:rsidR="001A4033" w:rsidRPr="0063331B" w:rsidRDefault="001A4033" w:rsidP="0063331B">
      <w:pPr>
        <w:numPr>
          <w:ilvl w:val="0"/>
          <w:numId w:val="7"/>
        </w:numPr>
        <w:rPr>
          <w:color w:val="000000"/>
        </w:rPr>
      </w:pPr>
      <w:r w:rsidRPr="0063331B">
        <w:rPr>
          <w:color w:val="000000"/>
        </w:rPr>
        <w:t xml:space="preserve">Ramirez, S. et al. </w:t>
      </w:r>
      <w:r w:rsidRPr="0063331B">
        <w:rPr>
          <w:rFonts w:eastAsia="Calibri"/>
        </w:rPr>
        <w:t>Creating a False Memory</w:t>
      </w:r>
      <w:r w:rsidRPr="0063331B">
        <w:rPr>
          <w:color w:val="000000"/>
        </w:rPr>
        <w:t xml:space="preserve"> </w:t>
      </w:r>
      <w:r w:rsidRPr="0063331B">
        <w:rPr>
          <w:rFonts w:eastAsia="Calibri"/>
        </w:rPr>
        <w:t xml:space="preserve">in the Hippocampus </w:t>
      </w:r>
      <w:r w:rsidR="002D6D9B" w:rsidRPr="0063331B">
        <w:rPr>
          <w:rFonts w:eastAsia="Calibri"/>
        </w:rPr>
        <w:t xml:space="preserve">(2013) </w:t>
      </w:r>
      <w:r w:rsidRPr="0063331B">
        <w:rPr>
          <w:rFonts w:eastAsia="Calibri"/>
          <w:b/>
        </w:rPr>
        <w:t>Science</w:t>
      </w:r>
      <w:r w:rsidRPr="0063331B">
        <w:rPr>
          <w:rFonts w:eastAsia="Calibri"/>
        </w:rPr>
        <w:t xml:space="preserve"> 341:387-391.</w:t>
      </w:r>
    </w:p>
    <w:p w14:paraId="2B5A475A" w14:textId="77777777" w:rsidR="0063331B" w:rsidRDefault="0063331B" w:rsidP="0063331B">
      <w:pPr>
        <w:pStyle w:val="ListParagraph"/>
        <w:rPr>
          <w:color w:val="000000"/>
        </w:rPr>
      </w:pPr>
    </w:p>
    <w:p w14:paraId="41700F8D" w14:textId="77777777" w:rsidR="001A4033" w:rsidRPr="00E56AFD" w:rsidRDefault="001A4033" w:rsidP="0063331B">
      <w:pPr>
        <w:numPr>
          <w:ilvl w:val="0"/>
          <w:numId w:val="7"/>
        </w:numPr>
        <w:rPr>
          <w:color w:val="000000"/>
        </w:rPr>
      </w:pPr>
      <w:proofErr w:type="spellStart"/>
      <w:r>
        <w:t>Nabavi</w:t>
      </w:r>
      <w:proofErr w:type="spellEnd"/>
      <w:r>
        <w:t xml:space="preserve">, S. et al. Engineering a memory with LTD and LTP </w:t>
      </w:r>
      <w:r w:rsidR="002D6D9B">
        <w:t xml:space="preserve">(2014) </w:t>
      </w:r>
      <w:r w:rsidRPr="0063331B">
        <w:rPr>
          <w:b/>
        </w:rPr>
        <w:t>Nature</w:t>
      </w:r>
      <w:r>
        <w:t xml:space="preserve"> 511:348-351.</w:t>
      </w:r>
    </w:p>
    <w:p w14:paraId="0311757C" w14:textId="77777777" w:rsidR="00E56AFD" w:rsidRDefault="00E56AFD" w:rsidP="00E56AFD">
      <w:pPr>
        <w:pStyle w:val="ListParagraph"/>
        <w:rPr>
          <w:color w:val="000000"/>
        </w:rPr>
      </w:pPr>
    </w:p>
    <w:p w14:paraId="4FD4C0AE" w14:textId="77777777" w:rsidR="0063331B" w:rsidRPr="00E56AFD" w:rsidRDefault="00E56AFD" w:rsidP="00E56AFD">
      <w:pPr>
        <w:numPr>
          <w:ilvl w:val="0"/>
          <w:numId w:val="7"/>
        </w:numPr>
        <w:rPr>
          <w:color w:val="000000"/>
        </w:rPr>
      </w:pPr>
      <w:proofErr w:type="spellStart"/>
      <w:r>
        <w:rPr>
          <w:color w:val="000000"/>
        </w:rPr>
        <w:t>Grewe</w:t>
      </w:r>
      <w:proofErr w:type="spellEnd"/>
      <w:r>
        <w:rPr>
          <w:color w:val="000000"/>
        </w:rPr>
        <w:t xml:space="preserve">, B.F. et al. </w:t>
      </w:r>
      <w:r>
        <w:t>Neural ensemble dynamics underlying a long-term associative memory (2018) Nature 543:670-675.</w:t>
      </w:r>
    </w:p>
    <w:p w14:paraId="2FF0BA9E" w14:textId="77777777" w:rsidR="0063331B" w:rsidRDefault="0063331B" w:rsidP="0063331B">
      <w:pPr>
        <w:pStyle w:val="ListParagraph"/>
        <w:rPr>
          <w:color w:val="000000"/>
        </w:rPr>
      </w:pPr>
    </w:p>
    <w:p w14:paraId="4133FCFD" w14:textId="77777777" w:rsidR="00813067" w:rsidRPr="0063331B" w:rsidRDefault="00813067" w:rsidP="0063331B">
      <w:pPr>
        <w:numPr>
          <w:ilvl w:val="0"/>
          <w:numId w:val="7"/>
        </w:numPr>
        <w:rPr>
          <w:color w:val="000000"/>
        </w:rPr>
      </w:pPr>
      <w:r>
        <w:t xml:space="preserve">Roy, D.S. </w:t>
      </w:r>
      <w:hyperlink r:id="rId6" w:history="1">
        <w:r w:rsidRPr="0063331B">
          <w:rPr>
            <w:rStyle w:val="Hyperlink"/>
            <w:color w:val="auto"/>
            <w:u w:val="none"/>
            <w:shd w:val="clear" w:color="auto" w:fill="FFFFFF"/>
          </w:rPr>
          <w:t>Distinct Neural Circuits for the Formation and Retrieval of Episodic Memories.</w:t>
        </w:r>
      </w:hyperlink>
      <w:r>
        <w:t xml:space="preserve">(2017) </w:t>
      </w:r>
      <w:r w:rsidRPr="0063331B">
        <w:rPr>
          <w:b/>
        </w:rPr>
        <w:t>Cell</w:t>
      </w:r>
      <w:r w:rsidR="005D2979" w:rsidRPr="0063331B">
        <w:rPr>
          <w:b/>
        </w:rPr>
        <w:t xml:space="preserve"> </w:t>
      </w:r>
      <w:r w:rsidR="005D2979">
        <w:t>170:1000-1012.</w:t>
      </w:r>
    </w:p>
    <w:p w14:paraId="027D5B98" w14:textId="77777777" w:rsidR="006B0CEC" w:rsidRPr="007E2F26" w:rsidRDefault="003969F2" w:rsidP="005C6476">
      <w:pPr>
        <w:tabs>
          <w:tab w:val="left" w:pos="7650"/>
        </w:tabs>
        <w:jc w:val="both"/>
      </w:pPr>
      <w:r w:rsidRPr="007E2F26">
        <w:tab/>
      </w:r>
    </w:p>
    <w:p w14:paraId="1E2F75FE" w14:textId="77777777" w:rsidR="001475DB" w:rsidRPr="007E2F26" w:rsidRDefault="001475DB" w:rsidP="001475DB"/>
    <w:p w14:paraId="1DCE455A" w14:textId="77777777" w:rsidR="001475DB" w:rsidRDefault="001475DB" w:rsidP="00EB5501">
      <w:pPr>
        <w:ind w:right="-708"/>
      </w:pPr>
      <w:r>
        <w:rPr>
          <w:b/>
          <w:bCs/>
        </w:rPr>
        <w:t>Course Coordinator</w:t>
      </w:r>
      <w:r>
        <w:t>:</w:t>
      </w:r>
      <w:r>
        <w:tab/>
        <w:t>Don Arnold</w:t>
      </w:r>
      <w:r>
        <w:tab/>
      </w:r>
      <w:r w:rsidR="00D42DD1">
        <w:t>RRI 204b</w:t>
      </w:r>
      <w:r>
        <w:tab/>
        <w:t>P: 821-</w:t>
      </w:r>
      <w:proofErr w:type="gramStart"/>
      <w:r>
        <w:t xml:space="preserve">1266  </w:t>
      </w:r>
      <w:r>
        <w:tab/>
      </w:r>
      <w:proofErr w:type="gramEnd"/>
      <w:r>
        <w:t>F: (213) 821-1818</w:t>
      </w:r>
      <w:r>
        <w:tab/>
      </w:r>
      <w:r>
        <w:tab/>
      </w:r>
      <w:r>
        <w:tab/>
      </w:r>
      <w:r>
        <w:tab/>
      </w:r>
      <w:hyperlink r:id="rId7" w:history="1">
        <w:r>
          <w:rPr>
            <w:rStyle w:val="Hyperlink"/>
          </w:rPr>
          <w:t>darnold@usc.edu</w:t>
        </w:r>
      </w:hyperlink>
      <w:r>
        <w:t xml:space="preserve">  </w:t>
      </w:r>
      <w:r>
        <w:tab/>
        <w:t xml:space="preserve">Office Hours: </w:t>
      </w:r>
      <w:r w:rsidR="00D42DD1">
        <w:t>M</w:t>
      </w:r>
      <w:r>
        <w:t xml:space="preserve"> </w:t>
      </w:r>
      <w:r w:rsidR="00D42DD1">
        <w:t>2</w:t>
      </w:r>
      <w:r>
        <w:t>:00-</w:t>
      </w:r>
      <w:r w:rsidR="00D42DD1">
        <w:t>3</w:t>
      </w:r>
      <w:r>
        <w:t>:00 PM</w:t>
      </w:r>
      <w:r>
        <w:tab/>
      </w:r>
      <w:r>
        <w:tab/>
      </w:r>
      <w:r>
        <w:tab/>
      </w:r>
    </w:p>
    <w:p w14:paraId="0D476165" w14:textId="77777777" w:rsidR="001475DB" w:rsidRDefault="001475DB" w:rsidP="001475DB"/>
    <w:p w14:paraId="06700F0D" w14:textId="77777777" w:rsidR="001475DB" w:rsidRDefault="001475DB" w:rsidP="001475DB">
      <w:r>
        <w:rPr>
          <w:b/>
          <w:bCs/>
        </w:rPr>
        <w:t>Textbook</w:t>
      </w:r>
      <w:r>
        <w:t xml:space="preserve">: </w:t>
      </w:r>
      <w:r w:rsidR="00996201" w:rsidRPr="00996201">
        <w:t>None</w:t>
      </w:r>
    </w:p>
    <w:p w14:paraId="13FE1169" w14:textId="77777777" w:rsidR="001475DB" w:rsidRDefault="001475DB" w:rsidP="001475DB"/>
    <w:p w14:paraId="14EE98A7" w14:textId="77777777" w:rsidR="001475DB" w:rsidRDefault="001475DB" w:rsidP="001475DB">
      <w:r>
        <w:rPr>
          <w:b/>
          <w:bCs/>
        </w:rPr>
        <w:t>Time and Place</w:t>
      </w:r>
      <w:r>
        <w:t>:</w:t>
      </w:r>
      <w:r>
        <w:rPr>
          <w:b/>
          <w:bCs/>
        </w:rPr>
        <w:t xml:space="preserve"> </w:t>
      </w:r>
      <w:r>
        <w:t>4:00-</w:t>
      </w:r>
      <w:r w:rsidR="00756267">
        <w:t>5:50 PM</w:t>
      </w:r>
      <w:r>
        <w:t xml:space="preserve">, </w:t>
      </w:r>
      <w:r w:rsidR="00F76553">
        <w:t>RRI 221</w:t>
      </w:r>
      <w:r>
        <w:t>.</w:t>
      </w:r>
    </w:p>
    <w:p w14:paraId="2062F84A" w14:textId="77777777" w:rsidR="001475DB" w:rsidRDefault="001475DB" w:rsidP="001475DB"/>
    <w:p w14:paraId="0FDBFC83" w14:textId="77777777" w:rsidR="00CB6446" w:rsidRDefault="001475DB" w:rsidP="001475DB">
      <w:r>
        <w:rPr>
          <w:b/>
          <w:bCs/>
        </w:rPr>
        <w:t>Grading</w:t>
      </w:r>
      <w:r>
        <w:t xml:space="preserve">: </w:t>
      </w:r>
      <w:r w:rsidR="00CB6446">
        <w:t>The grades for the course will be determined by the presentation (50%), class participation (10%) and questions (</w:t>
      </w:r>
      <w:r w:rsidR="00DE12A0">
        <w:t xml:space="preserve">40%). </w:t>
      </w:r>
      <w:r w:rsidR="007E6136">
        <w:t>Each week, e</w:t>
      </w:r>
      <w:r w:rsidR="00DE12A0">
        <w:t xml:space="preserve">very student must </w:t>
      </w:r>
      <w:r w:rsidR="00AB4F8E">
        <w:t>email</w:t>
      </w:r>
      <w:r w:rsidR="00DE12A0">
        <w:t xml:space="preserve"> 3</w:t>
      </w:r>
      <w:r w:rsidR="00CB6446">
        <w:t xml:space="preserve"> question</w:t>
      </w:r>
      <w:r w:rsidR="00DE12A0">
        <w:t>s</w:t>
      </w:r>
      <w:r w:rsidR="007E6136">
        <w:t xml:space="preserve"> </w:t>
      </w:r>
      <w:r w:rsidR="00DE12A0">
        <w:t>about each paper that is being</w:t>
      </w:r>
      <w:r w:rsidR="00CB6446">
        <w:t xml:space="preserve"> discussed </w:t>
      </w:r>
      <w:r w:rsidR="007E6136">
        <w:t>in that week’s</w:t>
      </w:r>
      <w:r w:rsidR="00CB6446">
        <w:t xml:space="preserve"> class</w:t>
      </w:r>
      <w:r w:rsidR="007E6136">
        <w:t xml:space="preserve"> to the instructor prior to the class</w:t>
      </w:r>
      <w:r w:rsidR="00CB6446">
        <w:t xml:space="preserve">. </w:t>
      </w:r>
      <w:r w:rsidR="0095356B">
        <w:t>These questions will be graded and will constitute 40% of the final grade</w:t>
      </w:r>
      <w:r w:rsidR="00CB6446">
        <w:t xml:space="preserve">. </w:t>
      </w:r>
    </w:p>
    <w:p w14:paraId="0572E7F6" w14:textId="77777777" w:rsidR="00CB6446" w:rsidRDefault="00CB6446" w:rsidP="001475DB"/>
    <w:p w14:paraId="24398EF4" w14:textId="77777777" w:rsidR="001475DB" w:rsidRDefault="001475DB" w:rsidP="001475DB">
      <w:r>
        <w:rPr>
          <w:b/>
          <w:bCs/>
        </w:rPr>
        <w:t>Disabilities.</w:t>
      </w:r>
      <w:r>
        <w:t xml:space="preserve"> Students requesting academic accommodations based on a disability are required to register with Disability Services and Programs (DSP) each semester. A letter of verification for approved accommodations can be obtained from DSP when adequate documentation is filed. </w:t>
      </w:r>
      <w:r>
        <w:lastRenderedPageBreak/>
        <w:t>Please be sure the letter is delivered to Dr. Arnold as early in the semester as possible.  DSP is open Monday-Friday, 8:30-5:00. The office is in Student Union 301 and their phone number is (213) 740-0776.</w:t>
      </w:r>
    </w:p>
    <w:p w14:paraId="4F2DDE29" w14:textId="77777777" w:rsidR="00F76553" w:rsidRPr="00F76553" w:rsidRDefault="00F76553" w:rsidP="00F76553">
      <w:r w:rsidRPr="00F76553">
        <w:rPr>
          <w:b/>
        </w:rPr>
        <w:t>COVID-19</w:t>
      </w:r>
      <w:r>
        <w:rPr>
          <w:b/>
        </w:rPr>
        <w:t xml:space="preserve">. </w:t>
      </w:r>
      <w:r w:rsidRPr="00F76553">
        <w:t>Students are expected to comply with all aspects of USC’s COVID-19 policy. Failure to do so may result in removal from the class and referral to SJACs.</w:t>
      </w:r>
    </w:p>
    <w:p w14:paraId="2DB0BB97" w14:textId="77777777" w:rsidR="001475DB" w:rsidRDefault="001475DB" w:rsidP="001475DB"/>
    <w:p w14:paraId="70194A86" w14:textId="77777777" w:rsidR="001475DB" w:rsidRDefault="001475DB" w:rsidP="001475DB">
      <w:r>
        <w:rPr>
          <w:b/>
          <w:bCs/>
        </w:rPr>
        <w:t>Disclaimer</w:t>
      </w:r>
      <w:r>
        <w:t>: It may be necessary to make some changes in the syllabus during the semester.</w:t>
      </w:r>
    </w:p>
    <w:p w14:paraId="154CD923" w14:textId="77777777" w:rsidR="00E27525" w:rsidRDefault="00E27525"/>
    <w:p w14:paraId="4032E144" w14:textId="77777777" w:rsidR="00381325" w:rsidRDefault="00F76553">
      <w:r>
        <w:fldChar w:fldCharType="begin"/>
      </w:r>
      <w:r>
        <w:instrText xml:space="preserve"> ADDIN EN.REFLIST </w:instrText>
      </w:r>
      <w:r>
        <w:fldChar w:fldCharType="end"/>
      </w:r>
    </w:p>
    <w:sectPr w:rsidR="00381325" w:rsidSect="0038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de">
    <w:altName w:val="Arial"/>
    <w:panose1 w:val="020B0604020202020204"/>
    <w:charset w:val="A1"/>
    <w:family w:val="swiss"/>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0C15"/>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C41DC"/>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A131F"/>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37CBE"/>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07F57"/>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93881"/>
    <w:multiLevelType w:val="hybridMultilevel"/>
    <w:tmpl w:val="7076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10363"/>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A6F99"/>
    <w:multiLevelType w:val="multilevel"/>
    <w:tmpl w:val="2A2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76748"/>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B37C7"/>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F6C4A"/>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50280"/>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C3B1A"/>
    <w:multiLevelType w:val="hybridMultilevel"/>
    <w:tmpl w:val="844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3507D"/>
    <w:multiLevelType w:val="hybridMultilevel"/>
    <w:tmpl w:val="7076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63B7C"/>
    <w:multiLevelType w:val="multilevel"/>
    <w:tmpl w:val="A97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E3CCD"/>
    <w:multiLevelType w:val="hybridMultilevel"/>
    <w:tmpl w:val="31F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675E5"/>
    <w:multiLevelType w:val="multilevel"/>
    <w:tmpl w:val="4C8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48439">
    <w:abstractNumId w:val="12"/>
  </w:num>
  <w:num w:numId="2" w16cid:durableId="995719030">
    <w:abstractNumId w:val="5"/>
  </w:num>
  <w:num w:numId="3" w16cid:durableId="979112396">
    <w:abstractNumId w:val="13"/>
  </w:num>
  <w:num w:numId="4" w16cid:durableId="931623988">
    <w:abstractNumId w:val="14"/>
  </w:num>
  <w:num w:numId="5" w16cid:durableId="1382948833">
    <w:abstractNumId w:val="7"/>
  </w:num>
  <w:num w:numId="6" w16cid:durableId="1663774938">
    <w:abstractNumId w:val="16"/>
  </w:num>
  <w:num w:numId="7" w16cid:durableId="85464039">
    <w:abstractNumId w:val="11"/>
  </w:num>
  <w:num w:numId="8" w16cid:durableId="1749377527">
    <w:abstractNumId w:val="8"/>
  </w:num>
  <w:num w:numId="9" w16cid:durableId="380439790">
    <w:abstractNumId w:val="9"/>
  </w:num>
  <w:num w:numId="10" w16cid:durableId="1317875281">
    <w:abstractNumId w:val="2"/>
  </w:num>
  <w:num w:numId="11" w16cid:durableId="1196894992">
    <w:abstractNumId w:val="6"/>
  </w:num>
  <w:num w:numId="12" w16cid:durableId="11685961">
    <w:abstractNumId w:val="1"/>
  </w:num>
  <w:num w:numId="13" w16cid:durableId="561529705">
    <w:abstractNumId w:val="15"/>
  </w:num>
  <w:num w:numId="14" w16cid:durableId="716707503">
    <w:abstractNumId w:val="3"/>
  </w:num>
  <w:num w:numId="15" w16cid:durableId="10111521">
    <w:abstractNumId w:val="4"/>
  </w:num>
  <w:num w:numId="16" w16cid:durableId="747533628">
    <w:abstractNumId w:val="0"/>
  </w:num>
  <w:num w:numId="17" w16cid:durableId="327171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rG0NDI3MjIxsDBR0lEKTi0uzszPAykwrAUAF4fxwyw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ntrabody-Converted.enl&lt;/item&gt;&lt;/Libraries&gt;&lt;/ENLibraries&gt;"/>
  </w:docVars>
  <w:rsids>
    <w:rsidRoot w:val="001475DB"/>
    <w:rsid w:val="000612F2"/>
    <w:rsid w:val="00063E8A"/>
    <w:rsid w:val="000914D0"/>
    <w:rsid w:val="00110070"/>
    <w:rsid w:val="00127E18"/>
    <w:rsid w:val="001475DB"/>
    <w:rsid w:val="0015797C"/>
    <w:rsid w:val="00170597"/>
    <w:rsid w:val="001A4033"/>
    <w:rsid w:val="001F1C33"/>
    <w:rsid w:val="002B0A91"/>
    <w:rsid w:val="002D17F0"/>
    <w:rsid w:val="002D6D9B"/>
    <w:rsid w:val="00314C61"/>
    <w:rsid w:val="00360CD0"/>
    <w:rsid w:val="00381325"/>
    <w:rsid w:val="00394464"/>
    <w:rsid w:val="003969F2"/>
    <w:rsid w:val="003D490F"/>
    <w:rsid w:val="003E045F"/>
    <w:rsid w:val="00433B77"/>
    <w:rsid w:val="004A1902"/>
    <w:rsid w:val="004F35EB"/>
    <w:rsid w:val="00505F22"/>
    <w:rsid w:val="00512415"/>
    <w:rsid w:val="00525019"/>
    <w:rsid w:val="00557796"/>
    <w:rsid w:val="00594C55"/>
    <w:rsid w:val="005C6476"/>
    <w:rsid w:val="005D2979"/>
    <w:rsid w:val="005D3BEA"/>
    <w:rsid w:val="005E1A0F"/>
    <w:rsid w:val="0060623F"/>
    <w:rsid w:val="006106F2"/>
    <w:rsid w:val="0063331B"/>
    <w:rsid w:val="00662B7D"/>
    <w:rsid w:val="0066506E"/>
    <w:rsid w:val="006750C2"/>
    <w:rsid w:val="006A79E7"/>
    <w:rsid w:val="006B0CEC"/>
    <w:rsid w:val="006F2BF9"/>
    <w:rsid w:val="00756267"/>
    <w:rsid w:val="007830F8"/>
    <w:rsid w:val="007D3A3C"/>
    <w:rsid w:val="007E2F26"/>
    <w:rsid w:val="007E6136"/>
    <w:rsid w:val="007F3F66"/>
    <w:rsid w:val="00803A45"/>
    <w:rsid w:val="0080791C"/>
    <w:rsid w:val="00813067"/>
    <w:rsid w:val="00870DF1"/>
    <w:rsid w:val="008863EE"/>
    <w:rsid w:val="008921BE"/>
    <w:rsid w:val="00893013"/>
    <w:rsid w:val="008C488A"/>
    <w:rsid w:val="008F6F9B"/>
    <w:rsid w:val="009422A9"/>
    <w:rsid w:val="0095356B"/>
    <w:rsid w:val="00970A41"/>
    <w:rsid w:val="009866F1"/>
    <w:rsid w:val="00996201"/>
    <w:rsid w:val="009A5088"/>
    <w:rsid w:val="009E69DB"/>
    <w:rsid w:val="009F23FB"/>
    <w:rsid w:val="00A012B7"/>
    <w:rsid w:val="00A21BCE"/>
    <w:rsid w:val="00A27515"/>
    <w:rsid w:val="00AA415B"/>
    <w:rsid w:val="00AA4DD4"/>
    <w:rsid w:val="00AB4F8E"/>
    <w:rsid w:val="00AF26F1"/>
    <w:rsid w:val="00B2113B"/>
    <w:rsid w:val="00B44416"/>
    <w:rsid w:val="00B44F59"/>
    <w:rsid w:val="00B531C6"/>
    <w:rsid w:val="00B5515D"/>
    <w:rsid w:val="00B56ADB"/>
    <w:rsid w:val="00BA6637"/>
    <w:rsid w:val="00BE6DBF"/>
    <w:rsid w:val="00C4140F"/>
    <w:rsid w:val="00C85BEB"/>
    <w:rsid w:val="00C93F07"/>
    <w:rsid w:val="00C9502F"/>
    <w:rsid w:val="00CB6446"/>
    <w:rsid w:val="00CE7CFE"/>
    <w:rsid w:val="00CF43A7"/>
    <w:rsid w:val="00D42DD1"/>
    <w:rsid w:val="00DC32FE"/>
    <w:rsid w:val="00DE12A0"/>
    <w:rsid w:val="00DE6BD4"/>
    <w:rsid w:val="00E0418B"/>
    <w:rsid w:val="00E27525"/>
    <w:rsid w:val="00E33433"/>
    <w:rsid w:val="00E56AFD"/>
    <w:rsid w:val="00E67E00"/>
    <w:rsid w:val="00EB5501"/>
    <w:rsid w:val="00F108E2"/>
    <w:rsid w:val="00F421DE"/>
    <w:rsid w:val="00F51730"/>
    <w:rsid w:val="00F51CEF"/>
    <w:rsid w:val="00F76553"/>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114C"/>
  <w15:chartTrackingRefBased/>
  <w15:docId w15:val="{7EB3F77F-6D30-4EAD-867E-1944761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DB"/>
    <w:rPr>
      <w:rFonts w:ascii="Times New Roman" w:eastAsia="Times New Roman" w:hAnsi="Times New Roman"/>
      <w:sz w:val="24"/>
      <w:szCs w:val="24"/>
    </w:rPr>
  </w:style>
  <w:style w:type="paragraph" w:styleId="Heading1">
    <w:name w:val="heading 1"/>
    <w:basedOn w:val="Normal"/>
    <w:next w:val="Normal"/>
    <w:link w:val="Heading1Char"/>
    <w:qFormat/>
    <w:rsid w:val="001475D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75DB"/>
    <w:rPr>
      <w:rFonts w:ascii="Times New Roman" w:eastAsia="Times New Roman" w:hAnsi="Times New Roman" w:cs="Times New Roman"/>
      <w:b/>
      <w:bCs/>
      <w:sz w:val="24"/>
      <w:szCs w:val="24"/>
    </w:rPr>
  </w:style>
  <w:style w:type="character" w:styleId="Hyperlink">
    <w:name w:val="Hyperlink"/>
    <w:semiHidden/>
    <w:rsid w:val="001475DB"/>
    <w:rPr>
      <w:color w:val="0033CC"/>
      <w:u w:val="single"/>
    </w:rPr>
  </w:style>
  <w:style w:type="paragraph" w:styleId="ListParagraph">
    <w:name w:val="List Paragraph"/>
    <w:basedOn w:val="Normal"/>
    <w:uiPriority w:val="34"/>
    <w:qFormat/>
    <w:rsid w:val="001475DB"/>
    <w:pPr>
      <w:ind w:left="720"/>
      <w:contextualSpacing/>
    </w:pPr>
  </w:style>
  <w:style w:type="character" w:customStyle="1" w:styleId="highlight">
    <w:name w:val="highlight"/>
    <w:rsid w:val="003969F2"/>
  </w:style>
  <w:style w:type="paragraph" w:customStyle="1" w:styleId="article-type">
    <w:name w:val="article-type"/>
    <w:basedOn w:val="Normal"/>
    <w:rsid w:val="0015797C"/>
    <w:pPr>
      <w:spacing w:before="100" w:beforeAutospacing="1" w:after="100" w:afterAutospacing="1"/>
    </w:pPr>
  </w:style>
  <w:style w:type="character" w:customStyle="1" w:styleId="journal-title">
    <w:name w:val="journal-title"/>
    <w:rsid w:val="0015797C"/>
  </w:style>
  <w:style w:type="character" w:customStyle="1" w:styleId="divider">
    <w:name w:val="divider"/>
    <w:rsid w:val="0015797C"/>
  </w:style>
  <w:style w:type="character" w:customStyle="1" w:styleId="japanese">
    <w:name w:val="japanese"/>
    <w:rsid w:val="0015797C"/>
  </w:style>
  <w:style w:type="character" w:customStyle="1" w:styleId="fn">
    <w:name w:val="fn"/>
    <w:rsid w:val="0015797C"/>
  </w:style>
  <w:style w:type="character" w:customStyle="1" w:styleId="comma">
    <w:name w:val="comma"/>
    <w:rsid w:val="0015797C"/>
  </w:style>
  <w:style w:type="paragraph" w:styleId="BalloonText">
    <w:name w:val="Balloon Text"/>
    <w:basedOn w:val="Normal"/>
    <w:link w:val="BalloonTextChar"/>
    <w:uiPriority w:val="99"/>
    <w:semiHidden/>
    <w:unhideWhenUsed/>
    <w:rsid w:val="004F35EB"/>
    <w:rPr>
      <w:rFonts w:ascii="Segoe UI" w:hAnsi="Segoe UI" w:cs="Segoe UI"/>
      <w:sz w:val="18"/>
      <w:szCs w:val="18"/>
    </w:rPr>
  </w:style>
  <w:style w:type="character" w:customStyle="1" w:styleId="BalloonTextChar">
    <w:name w:val="Balloon Text Char"/>
    <w:link w:val="BalloonText"/>
    <w:uiPriority w:val="99"/>
    <w:semiHidden/>
    <w:rsid w:val="004F35EB"/>
    <w:rPr>
      <w:rFonts w:ascii="Segoe UI" w:eastAsia="Times New Roman" w:hAnsi="Segoe UI" w:cs="Segoe UI"/>
      <w:sz w:val="18"/>
      <w:szCs w:val="18"/>
    </w:rPr>
  </w:style>
  <w:style w:type="paragraph" w:customStyle="1" w:styleId="Default">
    <w:name w:val="Default"/>
    <w:rsid w:val="00A27515"/>
    <w:pPr>
      <w:autoSpaceDE w:val="0"/>
      <w:autoSpaceDN w:val="0"/>
      <w:adjustRightInd w:val="0"/>
    </w:pPr>
    <w:rPr>
      <w:rFonts w:ascii="Code" w:hAnsi="Code" w:cs="Code"/>
      <w:color w:val="000000"/>
      <w:sz w:val="24"/>
      <w:szCs w:val="24"/>
    </w:rPr>
  </w:style>
  <w:style w:type="character" w:styleId="Emphasis">
    <w:name w:val="Emphasis"/>
    <w:uiPriority w:val="20"/>
    <w:qFormat/>
    <w:rsid w:val="007E2F26"/>
    <w:rPr>
      <w:i/>
      <w:iCs/>
    </w:rPr>
  </w:style>
  <w:style w:type="character" w:styleId="Strong">
    <w:name w:val="Strong"/>
    <w:uiPriority w:val="22"/>
    <w:qFormat/>
    <w:rsid w:val="007E2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2595">
      <w:bodyDiv w:val="1"/>
      <w:marLeft w:val="0"/>
      <w:marRight w:val="0"/>
      <w:marTop w:val="0"/>
      <w:marBottom w:val="0"/>
      <w:divBdr>
        <w:top w:val="none" w:sz="0" w:space="0" w:color="auto"/>
        <w:left w:val="none" w:sz="0" w:space="0" w:color="auto"/>
        <w:bottom w:val="none" w:sz="0" w:space="0" w:color="auto"/>
        <w:right w:val="none" w:sz="0" w:space="0" w:color="auto"/>
      </w:divBdr>
    </w:div>
    <w:div w:id="1199508512">
      <w:bodyDiv w:val="1"/>
      <w:marLeft w:val="0"/>
      <w:marRight w:val="0"/>
      <w:marTop w:val="0"/>
      <w:marBottom w:val="0"/>
      <w:divBdr>
        <w:top w:val="none" w:sz="0" w:space="0" w:color="auto"/>
        <w:left w:val="none" w:sz="0" w:space="0" w:color="auto"/>
        <w:bottom w:val="none" w:sz="0" w:space="0" w:color="auto"/>
        <w:right w:val="none" w:sz="0" w:space="0" w:color="auto"/>
      </w:divBdr>
    </w:div>
    <w:div w:id="1304627732">
      <w:bodyDiv w:val="1"/>
      <w:marLeft w:val="0"/>
      <w:marRight w:val="0"/>
      <w:marTop w:val="0"/>
      <w:marBottom w:val="0"/>
      <w:divBdr>
        <w:top w:val="none" w:sz="0" w:space="0" w:color="auto"/>
        <w:left w:val="none" w:sz="0" w:space="0" w:color="auto"/>
        <w:bottom w:val="none" w:sz="0" w:space="0" w:color="auto"/>
        <w:right w:val="none" w:sz="0" w:space="0" w:color="auto"/>
      </w:divBdr>
    </w:div>
    <w:div w:id="1400908902">
      <w:bodyDiv w:val="1"/>
      <w:marLeft w:val="0"/>
      <w:marRight w:val="0"/>
      <w:marTop w:val="0"/>
      <w:marBottom w:val="0"/>
      <w:divBdr>
        <w:top w:val="none" w:sz="0" w:space="0" w:color="auto"/>
        <w:left w:val="none" w:sz="0" w:space="0" w:color="auto"/>
        <w:bottom w:val="none" w:sz="0" w:space="0" w:color="auto"/>
        <w:right w:val="none" w:sz="0" w:space="0" w:color="auto"/>
      </w:divBdr>
      <w:divsChild>
        <w:div w:id="1383480790">
          <w:marLeft w:val="0"/>
          <w:marRight w:val="0"/>
          <w:marTop w:val="0"/>
          <w:marBottom w:val="0"/>
          <w:divBdr>
            <w:top w:val="none" w:sz="0" w:space="0" w:color="auto"/>
            <w:left w:val="none" w:sz="0" w:space="0" w:color="auto"/>
            <w:bottom w:val="none" w:sz="0" w:space="0" w:color="auto"/>
            <w:right w:val="none" w:sz="0" w:space="0" w:color="auto"/>
          </w:divBdr>
          <w:divsChild>
            <w:div w:id="1008948349">
              <w:marLeft w:val="0"/>
              <w:marRight w:val="0"/>
              <w:marTop w:val="0"/>
              <w:marBottom w:val="0"/>
              <w:divBdr>
                <w:top w:val="none" w:sz="0" w:space="0" w:color="auto"/>
                <w:left w:val="none" w:sz="0" w:space="0" w:color="auto"/>
                <w:bottom w:val="none" w:sz="0" w:space="0" w:color="auto"/>
                <w:right w:val="none" w:sz="0" w:space="0" w:color="auto"/>
              </w:divBdr>
              <w:divsChild>
                <w:div w:id="540245331">
                  <w:marLeft w:val="0"/>
                  <w:marRight w:val="0"/>
                  <w:marTop w:val="0"/>
                  <w:marBottom w:val="0"/>
                  <w:divBdr>
                    <w:top w:val="none" w:sz="0" w:space="0" w:color="auto"/>
                    <w:left w:val="none" w:sz="0" w:space="0" w:color="auto"/>
                    <w:bottom w:val="none" w:sz="0" w:space="0" w:color="auto"/>
                    <w:right w:val="none" w:sz="0" w:space="0" w:color="auto"/>
                  </w:divBdr>
                  <w:divsChild>
                    <w:div w:id="1161703670">
                      <w:marLeft w:val="0"/>
                      <w:marRight w:val="0"/>
                      <w:marTop w:val="0"/>
                      <w:marBottom w:val="0"/>
                      <w:divBdr>
                        <w:top w:val="none" w:sz="0" w:space="0" w:color="auto"/>
                        <w:left w:val="none" w:sz="0" w:space="0" w:color="auto"/>
                        <w:bottom w:val="none" w:sz="0" w:space="0" w:color="auto"/>
                        <w:right w:val="none" w:sz="0" w:space="0" w:color="auto"/>
                      </w:divBdr>
                    </w:div>
                    <w:div w:id="1626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81450">
      <w:bodyDiv w:val="1"/>
      <w:marLeft w:val="0"/>
      <w:marRight w:val="0"/>
      <w:marTop w:val="0"/>
      <w:marBottom w:val="0"/>
      <w:divBdr>
        <w:top w:val="none" w:sz="0" w:space="0" w:color="auto"/>
        <w:left w:val="none" w:sz="0" w:space="0" w:color="auto"/>
        <w:bottom w:val="none" w:sz="0" w:space="0" w:color="auto"/>
        <w:right w:val="none" w:sz="0" w:space="0" w:color="auto"/>
      </w:divBdr>
    </w:div>
    <w:div w:id="1650014625">
      <w:bodyDiv w:val="1"/>
      <w:marLeft w:val="0"/>
      <w:marRight w:val="0"/>
      <w:marTop w:val="0"/>
      <w:marBottom w:val="0"/>
      <w:divBdr>
        <w:top w:val="none" w:sz="0" w:space="0" w:color="auto"/>
        <w:left w:val="none" w:sz="0" w:space="0" w:color="auto"/>
        <w:bottom w:val="none" w:sz="0" w:space="0" w:color="auto"/>
        <w:right w:val="none" w:sz="0" w:space="0" w:color="auto"/>
      </w:divBdr>
      <w:divsChild>
        <w:div w:id="1037969714">
          <w:marLeft w:val="0"/>
          <w:marRight w:val="0"/>
          <w:marTop w:val="0"/>
          <w:marBottom w:val="0"/>
          <w:divBdr>
            <w:top w:val="none" w:sz="0" w:space="0" w:color="auto"/>
            <w:left w:val="none" w:sz="0" w:space="0" w:color="auto"/>
            <w:bottom w:val="none" w:sz="0" w:space="0" w:color="auto"/>
            <w:right w:val="none" w:sz="0" w:space="0" w:color="auto"/>
          </w:divBdr>
        </w:div>
        <w:div w:id="1187526699">
          <w:marLeft w:val="0"/>
          <w:marRight w:val="0"/>
          <w:marTop w:val="0"/>
          <w:marBottom w:val="0"/>
          <w:divBdr>
            <w:top w:val="none" w:sz="0" w:space="0" w:color="auto"/>
            <w:left w:val="none" w:sz="0" w:space="0" w:color="auto"/>
            <w:bottom w:val="none" w:sz="0" w:space="0" w:color="auto"/>
            <w:right w:val="none" w:sz="0" w:space="0" w:color="auto"/>
          </w:divBdr>
        </w:div>
        <w:div w:id="1829973962">
          <w:marLeft w:val="0"/>
          <w:marRight w:val="0"/>
          <w:marTop w:val="0"/>
          <w:marBottom w:val="0"/>
          <w:divBdr>
            <w:top w:val="none" w:sz="0" w:space="0" w:color="auto"/>
            <w:left w:val="none" w:sz="0" w:space="0" w:color="auto"/>
            <w:bottom w:val="none" w:sz="0" w:space="0" w:color="auto"/>
            <w:right w:val="none" w:sz="0" w:space="0" w:color="auto"/>
          </w:divBdr>
        </w:div>
        <w:div w:id="2052223172">
          <w:marLeft w:val="0"/>
          <w:marRight w:val="0"/>
          <w:marTop w:val="0"/>
          <w:marBottom w:val="0"/>
          <w:divBdr>
            <w:top w:val="none" w:sz="0" w:space="0" w:color="auto"/>
            <w:left w:val="none" w:sz="0" w:space="0" w:color="auto"/>
            <w:bottom w:val="none" w:sz="0" w:space="0" w:color="auto"/>
            <w:right w:val="none" w:sz="0" w:space="0" w:color="auto"/>
          </w:divBdr>
        </w:div>
        <w:div w:id="2063284324">
          <w:marLeft w:val="0"/>
          <w:marRight w:val="0"/>
          <w:marTop w:val="0"/>
          <w:marBottom w:val="0"/>
          <w:divBdr>
            <w:top w:val="none" w:sz="0" w:space="0" w:color="auto"/>
            <w:left w:val="none" w:sz="0" w:space="0" w:color="auto"/>
            <w:bottom w:val="none" w:sz="0" w:space="0" w:color="auto"/>
            <w:right w:val="none" w:sz="0" w:space="0" w:color="auto"/>
          </w:divBdr>
        </w:div>
        <w:div w:id="2104064977">
          <w:marLeft w:val="0"/>
          <w:marRight w:val="0"/>
          <w:marTop w:val="0"/>
          <w:marBottom w:val="0"/>
          <w:divBdr>
            <w:top w:val="none" w:sz="0" w:space="0" w:color="auto"/>
            <w:left w:val="none" w:sz="0" w:space="0" w:color="auto"/>
            <w:bottom w:val="none" w:sz="0" w:space="0" w:color="auto"/>
            <w:right w:val="none" w:sz="0" w:space="0" w:color="auto"/>
          </w:divBdr>
        </w:div>
      </w:divsChild>
    </w:div>
    <w:div w:id="1689864478">
      <w:bodyDiv w:val="1"/>
      <w:marLeft w:val="0"/>
      <w:marRight w:val="0"/>
      <w:marTop w:val="0"/>
      <w:marBottom w:val="0"/>
      <w:divBdr>
        <w:top w:val="none" w:sz="0" w:space="0" w:color="auto"/>
        <w:left w:val="none" w:sz="0" w:space="0" w:color="auto"/>
        <w:bottom w:val="none" w:sz="0" w:space="0" w:color="auto"/>
        <w:right w:val="none" w:sz="0" w:space="0" w:color="auto"/>
      </w:divBdr>
    </w:div>
    <w:div w:id="1832671614">
      <w:bodyDiv w:val="1"/>
      <w:marLeft w:val="0"/>
      <w:marRight w:val="0"/>
      <w:marTop w:val="0"/>
      <w:marBottom w:val="0"/>
      <w:divBdr>
        <w:top w:val="none" w:sz="0" w:space="0" w:color="auto"/>
        <w:left w:val="none" w:sz="0" w:space="0" w:color="auto"/>
        <w:bottom w:val="none" w:sz="0" w:space="0" w:color="auto"/>
        <w:right w:val="none" w:sz="0" w:space="0" w:color="auto"/>
      </w:divBdr>
    </w:div>
    <w:div w:id="1951089939">
      <w:bodyDiv w:val="1"/>
      <w:marLeft w:val="0"/>
      <w:marRight w:val="0"/>
      <w:marTop w:val="0"/>
      <w:marBottom w:val="0"/>
      <w:divBdr>
        <w:top w:val="none" w:sz="0" w:space="0" w:color="auto"/>
        <w:left w:val="none" w:sz="0" w:space="0" w:color="auto"/>
        <w:bottom w:val="none" w:sz="0" w:space="0" w:color="auto"/>
        <w:right w:val="none" w:sz="0" w:space="0" w:color="auto"/>
      </w:divBdr>
    </w:div>
    <w:div w:id="20434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nold@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8823555" TargetMode="External"/><Relationship Id="rId5" Type="http://schemas.openxmlformats.org/officeDocument/2006/relationships/hyperlink" Target="https://www.ncbi.nlm.nih.gov/pubmed/94285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4602</CharactersWithSpaces>
  <SharedDoc>false</SharedDoc>
  <HLinks>
    <vt:vector size="18" baseType="variant">
      <vt:variant>
        <vt:i4>7929936</vt:i4>
      </vt:variant>
      <vt:variant>
        <vt:i4>6</vt:i4>
      </vt:variant>
      <vt:variant>
        <vt:i4>0</vt:i4>
      </vt:variant>
      <vt:variant>
        <vt:i4>5</vt:i4>
      </vt:variant>
      <vt:variant>
        <vt:lpwstr>mailto:darnold@usc.edu</vt:lpwstr>
      </vt:variant>
      <vt:variant>
        <vt:lpwstr/>
      </vt:variant>
      <vt:variant>
        <vt:i4>262231</vt:i4>
      </vt:variant>
      <vt:variant>
        <vt:i4>3</vt:i4>
      </vt:variant>
      <vt:variant>
        <vt:i4>0</vt:i4>
      </vt:variant>
      <vt:variant>
        <vt:i4>5</vt:i4>
      </vt:variant>
      <vt:variant>
        <vt:lpwstr>https://www.ncbi.nlm.nih.gov/pubmed/28823555</vt:lpwstr>
      </vt:variant>
      <vt:variant>
        <vt:lpwstr/>
      </vt:variant>
      <vt:variant>
        <vt:i4>3342437</vt:i4>
      </vt:variant>
      <vt:variant>
        <vt:i4>0</vt:i4>
      </vt:variant>
      <vt:variant>
        <vt:i4>0</vt:i4>
      </vt:variant>
      <vt:variant>
        <vt:i4>5</vt:i4>
      </vt:variant>
      <vt:variant>
        <vt:lpwstr>https://www.ncbi.nlm.nih.gov/pubmed/9428516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College of Letters, Arts &amp; Sciences</dc:creator>
  <cp:keywords/>
  <cp:lastModifiedBy>Donald B. Arnold</cp:lastModifiedBy>
  <cp:revision>2</cp:revision>
  <cp:lastPrinted>2019-08-27T22:42:00Z</cp:lastPrinted>
  <dcterms:created xsi:type="dcterms:W3CDTF">2022-04-28T22:30:00Z</dcterms:created>
  <dcterms:modified xsi:type="dcterms:W3CDTF">2022-04-28T22:30:00Z</dcterms:modified>
</cp:coreProperties>
</file>