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F3BC" w14:textId="7F8FAFD6" w:rsidR="00D50789" w:rsidRPr="008647B2" w:rsidRDefault="00D50789" w:rsidP="00ED1B16">
      <w:pPr>
        <w:jc w:val="center"/>
      </w:pPr>
      <w:r w:rsidRPr="008647B2">
        <w:rPr>
          <w:b/>
        </w:rPr>
        <w:t xml:space="preserve">Social Work </w:t>
      </w:r>
      <w:r w:rsidR="00ED1B16" w:rsidRPr="008647B2">
        <w:rPr>
          <w:b/>
        </w:rPr>
        <w:t>724</w:t>
      </w:r>
    </w:p>
    <w:p w14:paraId="5572B138" w14:textId="508E0D20" w:rsidR="00D50789" w:rsidRPr="008647B2" w:rsidRDefault="00ED1B16" w:rsidP="00D50789">
      <w:pPr>
        <w:jc w:val="center"/>
        <w:rPr>
          <w:b/>
          <w:color w:val="991B1E"/>
        </w:rPr>
      </w:pPr>
      <w:r w:rsidRPr="008647B2">
        <w:rPr>
          <w:b/>
          <w:color w:val="991B1E"/>
        </w:rPr>
        <w:t>Residency II</w:t>
      </w:r>
    </w:p>
    <w:p w14:paraId="031EFC2D" w14:textId="092343AB" w:rsidR="00D50789" w:rsidRPr="008647B2" w:rsidRDefault="00BA53FB" w:rsidP="00D50789">
      <w:pPr>
        <w:jc w:val="center"/>
        <w:rPr>
          <w:b/>
        </w:rPr>
      </w:pPr>
      <w:r w:rsidRPr="008647B2">
        <w:rPr>
          <w:b/>
          <w:color w:val="991B1E"/>
        </w:rPr>
        <w:t>3</w:t>
      </w:r>
      <w:r w:rsidR="00D50789" w:rsidRPr="008647B2">
        <w:rPr>
          <w:b/>
          <w:color w:val="991B1E"/>
        </w:rPr>
        <w:t xml:space="preserve"> Units</w:t>
      </w:r>
    </w:p>
    <w:p w14:paraId="481365AE" w14:textId="3FB06AE9" w:rsidR="00D50789" w:rsidRPr="008647B2" w:rsidRDefault="008A1320" w:rsidP="00D50789">
      <w:pPr>
        <w:jc w:val="center"/>
        <w:rPr>
          <w:b/>
          <w:i/>
        </w:rPr>
      </w:pPr>
      <w:r>
        <w:rPr>
          <w:b/>
          <w:i/>
        </w:rPr>
        <w:t>Spring 2022</w:t>
      </w:r>
    </w:p>
    <w:p w14:paraId="6353B6FC" w14:textId="02E978E0" w:rsidR="00D50789" w:rsidRDefault="00D50789" w:rsidP="00D50789">
      <w:pPr>
        <w:jc w:val="center"/>
        <w:rPr>
          <w:b/>
        </w:rPr>
      </w:pPr>
    </w:p>
    <w:tbl>
      <w:tblPr>
        <w:tblStyle w:val="TableGrid"/>
        <w:tblW w:w="0" w:type="auto"/>
        <w:jc w:val="center"/>
        <w:tblLook w:val="04A0" w:firstRow="1" w:lastRow="0" w:firstColumn="1" w:lastColumn="0" w:noHBand="0" w:noVBand="1"/>
      </w:tblPr>
      <w:tblGrid>
        <w:gridCol w:w="2785"/>
        <w:gridCol w:w="6565"/>
      </w:tblGrid>
      <w:tr w:rsidR="0008696E" w:rsidRPr="00D50789" w14:paraId="7354FF0C" w14:textId="77777777" w:rsidTr="00490BE1">
        <w:trPr>
          <w:jc w:val="center"/>
        </w:trPr>
        <w:tc>
          <w:tcPr>
            <w:tcW w:w="2785" w:type="dxa"/>
          </w:tcPr>
          <w:p w14:paraId="05ED608A" w14:textId="77777777" w:rsidR="0008696E" w:rsidRDefault="0008696E" w:rsidP="00490BE1">
            <w:pPr>
              <w:rPr>
                <w:b/>
              </w:rPr>
            </w:pPr>
            <w:r>
              <w:rPr>
                <w:b/>
              </w:rPr>
              <w:t>Instructor</w:t>
            </w:r>
          </w:p>
        </w:tc>
        <w:tc>
          <w:tcPr>
            <w:tcW w:w="6565" w:type="dxa"/>
          </w:tcPr>
          <w:p w14:paraId="7E9D4B0C" w14:textId="77777777" w:rsidR="0008696E" w:rsidRPr="00D50789" w:rsidRDefault="0008696E" w:rsidP="00490BE1">
            <w:r>
              <w:t>Annalisa Enrile, Ph.D., MSW</w:t>
            </w:r>
          </w:p>
        </w:tc>
      </w:tr>
      <w:tr w:rsidR="0008696E" w:rsidRPr="00D50789" w14:paraId="28C9836C" w14:textId="77777777" w:rsidTr="00490BE1">
        <w:trPr>
          <w:jc w:val="center"/>
        </w:trPr>
        <w:tc>
          <w:tcPr>
            <w:tcW w:w="2785" w:type="dxa"/>
          </w:tcPr>
          <w:p w14:paraId="1EC95A96" w14:textId="77777777" w:rsidR="0008696E" w:rsidRDefault="0008696E" w:rsidP="00490BE1">
            <w:pPr>
              <w:rPr>
                <w:b/>
              </w:rPr>
            </w:pPr>
            <w:r>
              <w:rPr>
                <w:b/>
              </w:rPr>
              <w:t>Email</w:t>
            </w:r>
          </w:p>
        </w:tc>
        <w:tc>
          <w:tcPr>
            <w:tcW w:w="6565" w:type="dxa"/>
          </w:tcPr>
          <w:p w14:paraId="2DA4DD46" w14:textId="77777777" w:rsidR="0008696E" w:rsidRPr="00D50789" w:rsidRDefault="001A5026" w:rsidP="00490BE1">
            <w:hyperlink r:id="rId10" w:history="1">
              <w:r w:rsidR="0008696E" w:rsidRPr="00E633B3">
                <w:rPr>
                  <w:rStyle w:val="Hyperlink"/>
                </w:rPr>
                <w:t>enrile@usc.edu</w:t>
              </w:r>
            </w:hyperlink>
          </w:p>
        </w:tc>
      </w:tr>
      <w:tr w:rsidR="0008696E" w:rsidRPr="00D50789" w14:paraId="066DA6E3" w14:textId="77777777" w:rsidTr="00490BE1">
        <w:trPr>
          <w:jc w:val="center"/>
        </w:trPr>
        <w:tc>
          <w:tcPr>
            <w:tcW w:w="2785" w:type="dxa"/>
          </w:tcPr>
          <w:p w14:paraId="55C39A87" w14:textId="77777777" w:rsidR="0008696E" w:rsidRDefault="0008696E" w:rsidP="00490BE1">
            <w:pPr>
              <w:rPr>
                <w:b/>
              </w:rPr>
            </w:pPr>
            <w:r>
              <w:rPr>
                <w:b/>
              </w:rPr>
              <w:t>Telephone</w:t>
            </w:r>
          </w:p>
        </w:tc>
        <w:tc>
          <w:tcPr>
            <w:tcW w:w="6565" w:type="dxa"/>
          </w:tcPr>
          <w:p w14:paraId="4C0C1425" w14:textId="77777777" w:rsidR="0008696E" w:rsidRPr="00D50789" w:rsidRDefault="0008696E" w:rsidP="00490BE1">
            <w:r>
              <w:t>619.316.0920</w:t>
            </w:r>
          </w:p>
        </w:tc>
      </w:tr>
      <w:tr w:rsidR="0008696E" w:rsidRPr="00D50789" w14:paraId="1F5FC385" w14:textId="77777777" w:rsidTr="00490BE1">
        <w:trPr>
          <w:jc w:val="center"/>
        </w:trPr>
        <w:tc>
          <w:tcPr>
            <w:tcW w:w="2785" w:type="dxa"/>
          </w:tcPr>
          <w:p w14:paraId="37A804F8" w14:textId="77777777" w:rsidR="0008696E" w:rsidRDefault="0008696E" w:rsidP="00490BE1">
            <w:pPr>
              <w:rPr>
                <w:b/>
              </w:rPr>
            </w:pPr>
            <w:r>
              <w:rPr>
                <w:b/>
              </w:rPr>
              <w:t>Calendly</w:t>
            </w:r>
          </w:p>
        </w:tc>
        <w:tc>
          <w:tcPr>
            <w:tcW w:w="6565" w:type="dxa"/>
          </w:tcPr>
          <w:p w14:paraId="43D361E7" w14:textId="77777777" w:rsidR="0008696E" w:rsidRPr="00D50789" w:rsidRDefault="001A5026" w:rsidP="00490BE1">
            <w:hyperlink r:id="rId11" w:history="1">
              <w:r w:rsidR="0008696E" w:rsidRPr="00E633B3">
                <w:rPr>
                  <w:rStyle w:val="Hyperlink"/>
                </w:rPr>
                <w:t>https://calendly.com/annalisaenrile/dsw-advisory-mtg</w:t>
              </w:r>
            </w:hyperlink>
            <w:r w:rsidR="0008696E">
              <w:t xml:space="preserve"> </w:t>
            </w:r>
          </w:p>
        </w:tc>
      </w:tr>
      <w:tr w:rsidR="0008696E" w:rsidRPr="00D50789" w14:paraId="55E30B55" w14:textId="77777777" w:rsidTr="00490BE1">
        <w:trPr>
          <w:jc w:val="center"/>
        </w:trPr>
        <w:tc>
          <w:tcPr>
            <w:tcW w:w="2785" w:type="dxa"/>
          </w:tcPr>
          <w:p w14:paraId="37DC8EAC" w14:textId="77777777" w:rsidR="0008696E" w:rsidRDefault="0008696E" w:rsidP="00490BE1">
            <w:pPr>
              <w:rPr>
                <w:b/>
              </w:rPr>
            </w:pPr>
            <w:r>
              <w:rPr>
                <w:b/>
              </w:rPr>
              <w:t>Course Day(s)</w:t>
            </w:r>
          </w:p>
        </w:tc>
        <w:tc>
          <w:tcPr>
            <w:tcW w:w="6565" w:type="dxa"/>
          </w:tcPr>
          <w:p w14:paraId="030E81AE" w14:textId="7C473FC8" w:rsidR="00CA6C51" w:rsidRDefault="00CA6C51" w:rsidP="00490BE1">
            <w:r>
              <w:t>January 14, 5-6:30pm PST</w:t>
            </w:r>
            <w:r w:rsidR="0008696E">
              <w:t xml:space="preserve"> </w:t>
            </w:r>
          </w:p>
          <w:p w14:paraId="5B3E5E07" w14:textId="77777777" w:rsidR="00CA6C51" w:rsidRDefault="00CA6C51" w:rsidP="00490BE1">
            <w:r>
              <w:t xml:space="preserve">January 31, Feb </w:t>
            </w:r>
            <w:proofErr w:type="gramStart"/>
            <w:r>
              <w:t>1</w:t>
            </w:r>
            <w:proofErr w:type="gramEnd"/>
            <w:r>
              <w:t xml:space="preserve"> and Feb 2: 9am to 4pm PST daily</w:t>
            </w:r>
          </w:p>
          <w:p w14:paraId="235A2FA8" w14:textId="0B15BE4A" w:rsidR="0008696E" w:rsidRPr="00D50789" w:rsidRDefault="00CA6C51" w:rsidP="00490BE1">
            <w:r>
              <w:t xml:space="preserve">March 11, 5-6:30pm PST </w:t>
            </w:r>
          </w:p>
        </w:tc>
      </w:tr>
      <w:tr w:rsidR="0008696E" w:rsidRPr="00D50789" w14:paraId="23CE3C4E" w14:textId="77777777" w:rsidTr="00490BE1">
        <w:trPr>
          <w:jc w:val="center"/>
        </w:trPr>
        <w:tc>
          <w:tcPr>
            <w:tcW w:w="2785" w:type="dxa"/>
          </w:tcPr>
          <w:p w14:paraId="2BA2082B" w14:textId="77777777" w:rsidR="0008696E" w:rsidRDefault="0008696E" w:rsidP="00490BE1">
            <w:pPr>
              <w:rPr>
                <w:b/>
              </w:rPr>
            </w:pPr>
            <w:r>
              <w:rPr>
                <w:b/>
              </w:rPr>
              <w:t>Course Location</w:t>
            </w:r>
          </w:p>
        </w:tc>
        <w:tc>
          <w:tcPr>
            <w:tcW w:w="6565" w:type="dxa"/>
          </w:tcPr>
          <w:p w14:paraId="022014E5" w14:textId="77777777" w:rsidR="0008696E" w:rsidRDefault="0008696E" w:rsidP="00490BE1">
            <w:r>
              <w:t>VAC</w:t>
            </w:r>
          </w:p>
        </w:tc>
      </w:tr>
    </w:tbl>
    <w:p w14:paraId="51CECF23" w14:textId="77777777" w:rsidR="0008696E" w:rsidRPr="008647B2" w:rsidRDefault="0008696E" w:rsidP="00D50789">
      <w:pPr>
        <w:jc w:val="center"/>
        <w:rPr>
          <w:b/>
        </w:rPr>
      </w:pPr>
    </w:p>
    <w:p w14:paraId="2F53D7F9" w14:textId="21E8FCAD" w:rsidR="00D50789" w:rsidRPr="008647B2" w:rsidRDefault="00D50789" w:rsidP="00D50789">
      <w:pPr>
        <w:rPr>
          <w:color w:val="991B1E"/>
        </w:rPr>
      </w:pPr>
      <w:r w:rsidRPr="008647B2">
        <w:rPr>
          <w:b/>
          <w:color w:val="991B1E"/>
        </w:rPr>
        <w:t>Course Pre</w:t>
      </w:r>
      <w:r w:rsidR="006F4B9D" w:rsidRPr="008647B2">
        <w:rPr>
          <w:b/>
          <w:color w:val="991B1E"/>
        </w:rPr>
        <w:t>-</w:t>
      </w:r>
      <w:r w:rsidRPr="008647B2">
        <w:rPr>
          <w:b/>
          <w:color w:val="991B1E"/>
        </w:rPr>
        <w:t>requisites</w:t>
      </w:r>
      <w:r w:rsidR="006F4B9D" w:rsidRPr="008647B2">
        <w:rPr>
          <w:b/>
          <w:color w:val="991B1E"/>
        </w:rPr>
        <w:t xml:space="preserve">, Co-requisites, and Concurrent Enrollment </w:t>
      </w:r>
    </w:p>
    <w:p w14:paraId="57CE49B1" w14:textId="77777777" w:rsidR="00BA53FB" w:rsidRPr="008647B2" w:rsidRDefault="00BA53FB" w:rsidP="00BA53FB">
      <w:pPr>
        <w:pStyle w:val="BodyText"/>
        <w:spacing w:after="0"/>
        <w:rPr>
          <w:rFonts w:ascii="Times New Roman" w:hAnsi="Times New Roman"/>
          <w:szCs w:val="20"/>
        </w:rPr>
      </w:pPr>
      <w:r w:rsidRPr="008647B2">
        <w:rPr>
          <w:rFonts w:ascii="Times New Roman" w:hAnsi="Times New Roman"/>
          <w:szCs w:val="20"/>
        </w:rPr>
        <w:t xml:space="preserve">Concurrent enrollment in Capstone 2 (SOWK 722) is mandatory for enrollment in this course. Successful completion of the following prerequisite courses is also required: Financial Management for Social Change (707), Application of Implementation Science (713), Data Driven Decision Making in Social Services (721), and Executive Leadership (714). Students should also have advanced significantly on their final Capstone Project and be ready to present at the culmination of the residency. </w:t>
      </w:r>
    </w:p>
    <w:p w14:paraId="2B84109B" w14:textId="77777777" w:rsidR="00B9300D" w:rsidRPr="008647B2" w:rsidRDefault="00B9300D" w:rsidP="00D50789">
      <w:pPr>
        <w:rPr>
          <w:b/>
          <w:color w:val="991B1E"/>
        </w:rPr>
      </w:pPr>
    </w:p>
    <w:p w14:paraId="7E1C6220" w14:textId="2F109DD7" w:rsidR="00D50789" w:rsidRPr="008647B2" w:rsidRDefault="00D50789" w:rsidP="00D50789">
      <w:r w:rsidRPr="008647B2">
        <w:rPr>
          <w:b/>
          <w:color w:val="991B1E"/>
        </w:rPr>
        <w:t>Catalogue Description</w:t>
      </w:r>
    </w:p>
    <w:p w14:paraId="6E0A043B" w14:textId="25930A34" w:rsidR="00BA53FB" w:rsidRPr="008647B2" w:rsidRDefault="00BA53FB" w:rsidP="00BA53FB">
      <w:pPr>
        <w:pStyle w:val="BodyText"/>
        <w:spacing w:after="0"/>
        <w:rPr>
          <w:rFonts w:ascii="Times New Roman" w:hAnsi="Times New Roman"/>
          <w:szCs w:val="20"/>
        </w:rPr>
      </w:pPr>
      <w:r w:rsidRPr="008647B2">
        <w:rPr>
          <w:rFonts w:ascii="Times New Roman" w:hAnsi="Times New Roman"/>
          <w:szCs w:val="20"/>
        </w:rPr>
        <w:t>A three-day residency in the sixth semester of the DSW program designed for forward looking, continued development of innovation skills, and presenting their final Capstone and Prototype. Three online prep sessions are included in the residency experience (see course schedule)</w:t>
      </w:r>
    </w:p>
    <w:p w14:paraId="6B0B49F8" w14:textId="7B3C7A45" w:rsidR="00B9300D" w:rsidRPr="008647B2" w:rsidRDefault="00B9300D" w:rsidP="00D50789"/>
    <w:p w14:paraId="5610DAF2" w14:textId="77777777" w:rsidR="00BA53FB" w:rsidRPr="008647B2" w:rsidRDefault="00BA53FB" w:rsidP="00BA53FB">
      <w:pPr>
        <w:pStyle w:val="BodyText"/>
        <w:spacing w:after="0"/>
        <w:rPr>
          <w:rFonts w:ascii="Times New Roman" w:hAnsi="Times New Roman"/>
          <w:szCs w:val="20"/>
        </w:rPr>
      </w:pPr>
      <w:r w:rsidRPr="008647B2">
        <w:rPr>
          <w:rFonts w:ascii="Times New Roman" w:hAnsi="Times New Roman"/>
          <w:szCs w:val="20"/>
        </w:rPr>
        <w:t>This course is intended to provide students with a three-day residency experience during the sixth semester of the DSW program. Residency II will provide students, faculty, and other stakeholders with the opportunity for an in-person presentation of students’ Capstone Projects. During Residency II students will showcase their Capstone Project. The residency is forward-looking for their project and will center around the skills of articulation, networking, advocacy, and sustainability. They will exhibit their solutions to social work Grand Challenges through exercises, speaking engagements, workshops, and key informant meetings. Students will share their ideas, engaging possible funders, innovators, policy makers, and stakeholders. To accomplish this, students will be reexamining and deepening their understanding of the first five semesters’ course material (learning), challenging their knowledge base (reading), and relating their ideas with the goal of leading an innovation (critical thinking). Students will also prepare and present their Capstone Project to their Capstone Assessment Committee.</w:t>
      </w:r>
    </w:p>
    <w:p w14:paraId="5FAC5E83" w14:textId="77777777" w:rsidR="00BA53FB" w:rsidRPr="008647B2" w:rsidRDefault="00BA53FB" w:rsidP="00BA53FB">
      <w:pPr>
        <w:pStyle w:val="BodyText"/>
        <w:spacing w:after="0"/>
        <w:rPr>
          <w:rFonts w:ascii="Times New Roman" w:hAnsi="Times New Roman"/>
          <w:szCs w:val="20"/>
        </w:rPr>
      </w:pPr>
      <w:r w:rsidRPr="008647B2">
        <w:rPr>
          <w:rFonts w:ascii="Times New Roman" w:hAnsi="Times New Roman"/>
          <w:szCs w:val="20"/>
        </w:rPr>
        <w:t xml:space="preserve"> </w:t>
      </w:r>
    </w:p>
    <w:p w14:paraId="72B2B74E" w14:textId="77777777" w:rsidR="00BA53FB" w:rsidRPr="008647B2" w:rsidRDefault="00BA53FB" w:rsidP="00BA53FB">
      <w:pPr>
        <w:pStyle w:val="BodyText"/>
        <w:spacing w:after="0"/>
        <w:rPr>
          <w:rFonts w:ascii="Times New Roman" w:hAnsi="Times New Roman"/>
          <w:szCs w:val="20"/>
        </w:rPr>
      </w:pPr>
      <w:r w:rsidRPr="008647B2">
        <w:rPr>
          <w:rFonts w:ascii="Times New Roman" w:hAnsi="Times New Roman"/>
          <w:szCs w:val="20"/>
        </w:rPr>
        <w:t>The key elements of the residency include:</w:t>
      </w:r>
    </w:p>
    <w:p w14:paraId="4D2F24DF" w14:textId="77777777" w:rsidR="00BA53FB" w:rsidRPr="008647B2" w:rsidRDefault="00BA53FB" w:rsidP="00BA53FB">
      <w:pPr>
        <w:pStyle w:val="BodyText"/>
        <w:numPr>
          <w:ilvl w:val="0"/>
          <w:numId w:val="10"/>
        </w:numPr>
        <w:spacing w:after="0"/>
        <w:rPr>
          <w:rFonts w:ascii="Times New Roman" w:hAnsi="Times New Roman"/>
          <w:szCs w:val="20"/>
        </w:rPr>
      </w:pPr>
      <w:r w:rsidRPr="008647B2">
        <w:rPr>
          <w:rFonts w:ascii="Times New Roman" w:hAnsi="Times New Roman"/>
          <w:szCs w:val="20"/>
        </w:rPr>
        <w:t xml:space="preserve">Learning and practice of the Innovator’s Solution to further their projects. </w:t>
      </w:r>
    </w:p>
    <w:p w14:paraId="24A64A77" w14:textId="77777777" w:rsidR="00BA53FB" w:rsidRPr="008647B2" w:rsidRDefault="00BA53FB" w:rsidP="00BA53FB">
      <w:pPr>
        <w:pStyle w:val="BodyText"/>
        <w:numPr>
          <w:ilvl w:val="0"/>
          <w:numId w:val="10"/>
        </w:numPr>
        <w:spacing w:after="0"/>
        <w:rPr>
          <w:rFonts w:ascii="Times New Roman" w:hAnsi="Times New Roman"/>
          <w:szCs w:val="20"/>
        </w:rPr>
      </w:pPr>
      <w:r w:rsidRPr="008647B2">
        <w:rPr>
          <w:rFonts w:ascii="Times New Roman" w:hAnsi="Times New Roman"/>
          <w:szCs w:val="20"/>
        </w:rPr>
        <w:t>Engage in group discussions related to furthering their Capstone Project and impact to macro social work.</w:t>
      </w:r>
    </w:p>
    <w:p w14:paraId="1A838DB3" w14:textId="77777777" w:rsidR="00BA53FB" w:rsidRPr="008647B2" w:rsidRDefault="00BA53FB" w:rsidP="00BA53FB">
      <w:pPr>
        <w:pStyle w:val="ColorfulList-Accent11"/>
        <w:numPr>
          <w:ilvl w:val="0"/>
          <w:numId w:val="10"/>
        </w:numPr>
        <w:contextualSpacing/>
        <w:rPr>
          <w:rFonts w:ascii="Times New Roman" w:hAnsi="Times New Roman"/>
          <w:sz w:val="20"/>
          <w:szCs w:val="20"/>
        </w:rPr>
      </w:pPr>
      <w:r w:rsidRPr="008647B2">
        <w:rPr>
          <w:rFonts w:ascii="Times New Roman" w:hAnsi="Times New Roman"/>
          <w:sz w:val="20"/>
          <w:szCs w:val="20"/>
        </w:rPr>
        <w:t>Networking with peers and leaders in the field, social change makers, innovators, and others to enable progress in the important cause of innovation.</w:t>
      </w:r>
    </w:p>
    <w:p w14:paraId="5D51F6A5" w14:textId="287E2246" w:rsidR="00B9300D" w:rsidRDefault="00B9300D" w:rsidP="00D50789"/>
    <w:p w14:paraId="09F5A13D" w14:textId="77777777" w:rsidR="001A449D" w:rsidRPr="008647B2" w:rsidRDefault="001A449D" w:rsidP="00D50789"/>
    <w:p w14:paraId="1DD67965" w14:textId="41B65E64" w:rsidR="00B9300D" w:rsidRPr="008647B2" w:rsidRDefault="00B9300D" w:rsidP="00D50789">
      <w:pPr>
        <w:rPr>
          <w:b/>
          <w:color w:val="991B1E"/>
        </w:rPr>
      </w:pPr>
      <w:r w:rsidRPr="008647B2">
        <w:rPr>
          <w:b/>
          <w:color w:val="991B1E"/>
        </w:rPr>
        <w:t>Course Objectives</w:t>
      </w:r>
    </w:p>
    <w:p w14:paraId="4B50F696" w14:textId="01C99560" w:rsidR="00BA53FB" w:rsidRPr="008647B2" w:rsidRDefault="00BA53FB" w:rsidP="00BA53FB">
      <w:pPr>
        <w:pStyle w:val="BodyText"/>
        <w:spacing w:after="0"/>
        <w:rPr>
          <w:rFonts w:ascii="Times New Roman" w:hAnsi="Times New Roman"/>
          <w:szCs w:val="20"/>
        </w:rPr>
      </w:pPr>
      <w:r w:rsidRPr="008647B2">
        <w:rPr>
          <w:rFonts w:ascii="Times New Roman" w:hAnsi="Times New Roman"/>
          <w:szCs w:val="20"/>
        </w:rPr>
        <w:t xml:space="preserve">During Residency II, students’ skills will move from their ability to understand relationships, contextualize the material, and contribute to the knowledge base to actually building their ideas out in real-world circumstances. They will demonstrate their emergent positions of leadership in the Grand Challenge areas on which their Capstone Projects focus. Through their residency experience, students will demonstrate the following: </w:t>
      </w:r>
    </w:p>
    <w:p w14:paraId="7C10B327" w14:textId="77777777" w:rsidR="00BA53FB" w:rsidRPr="008647B2" w:rsidRDefault="00BA53FB" w:rsidP="00BA53FB">
      <w:pPr>
        <w:pStyle w:val="BodyText"/>
        <w:spacing w:after="0"/>
        <w:rPr>
          <w:rFonts w:ascii="Times New Roman" w:hAnsi="Times New Roman"/>
          <w:szCs w:val="20"/>
        </w:rPr>
      </w:pPr>
    </w:p>
    <w:p w14:paraId="27B5D721" w14:textId="77777777" w:rsidR="00BA53FB" w:rsidRPr="008647B2" w:rsidRDefault="00BA53FB" w:rsidP="00BA53FB">
      <w:pPr>
        <w:pStyle w:val="ListParagraph"/>
        <w:numPr>
          <w:ilvl w:val="0"/>
          <w:numId w:val="11"/>
        </w:numPr>
        <w:spacing w:after="0" w:line="240" w:lineRule="auto"/>
        <w:rPr>
          <w:rFonts w:ascii="Times New Roman" w:hAnsi="Times New Roman" w:cs="Times New Roman"/>
        </w:rPr>
      </w:pPr>
      <w:r w:rsidRPr="008647B2">
        <w:rPr>
          <w:rFonts w:ascii="Times New Roman" w:hAnsi="Times New Roman" w:cs="Times New Roman"/>
        </w:rPr>
        <w:t xml:space="preserve">Appraise innovative processes as they exist within their Grand Challenge area and assignments in the DSW program to date. </w:t>
      </w:r>
    </w:p>
    <w:p w14:paraId="060ADF7D" w14:textId="77777777" w:rsidR="00BA53FB" w:rsidRPr="008647B2" w:rsidRDefault="00BA53FB" w:rsidP="00BA53FB">
      <w:pPr>
        <w:pStyle w:val="ListParagraph"/>
        <w:numPr>
          <w:ilvl w:val="0"/>
          <w:numId w:val="11"/>
        </w:numPr>
        <w:spacing w:after="0" w:line="240" w:lineRule="auto"/>
        <w:rPr>
          <w:rFonts w:ascii="Times New Roman" w:hAnsi="Times New Roman" w:cs="Times New Roman"/>
        </w:rPr>
      </w:pPr>
      <w:r w:rsidRPr="008647B2">
        <w:rPr>
          <w:rFonts w:ascii="Times New Roman" w:hAnsi="Times New Roman" w:cs="Times New Roman"/>
        </w:rPr>
        <w:t>Synthesize the content of their previous DSW coursework as it relates to their Capstone Project, drawing deeper understanding of their past curriculum.</w:t>
      </w:r>
    </w:p>
    <w:p w14:paraId="6A2C715C" w14:textId="77777777" w:rsidR="00BA53FB" w:rsidRPr="008647B2" w:rsidRDefault="00BA53FB" w:rsidP="00BA53FB">
      <w:pPr>
        <w:pStyle w:val="ListParagraph"/>
        <w:numPr>
          <w:ilvl w:val="0"/>
          <w:numId w:val="11"/>
        </w:numPr>
        <w:spacing w:after="0" w:line="240" w:lineRule="auto"/>
        <w:rPr>
          <w:rFonts w:ascii="Times New Roman" w:hAnsi="Times New Roman" w:cs="Times New Roman"/>
        </w:rPr>
      </w:pPr>
      <w:r w:rsidRPr="008647B2">
        <w:rPr>
          <w:rFonts w:ascii="Times New Roman" w:hAnsi="Times New Roman" w:cs="Times New Roman"/>
        </w:rPr>
        <w:t>Advocate for their Capstone Project within their Grand Challenge area through an advocacy visit, either individual or group based (as applicable).</w:t>
      </w:r>
    </w:p>
    <w:p w14:paraId="41E0A44C" w14:textId="56BC93AB" w:rsidR="00B9300D" w:rsidRPr="008647B2" w:rsidRDefault="00BA53FB" w:rsidP="00D50789">
      <w:pPr>
        <w:pStyle w:val="ListParagraph"/>
        <w:numPr>
          <w:ilvl w:val="0"/>
          <w:numId w:val="11"/>
        </w:numPr>
        <w:spacing w:after="0" w:line="240" w:lineRule="auto"/>
        <w:rPr>
          <w:rFonts w:ascii="Times New Roman" w:hAnsi="Times New Roman" w:cs="Times New Roman"/>
        </w:rPr>
      </w:pPr>
      <w:r w:rsidRPr="008647B2">
        <w:rPr>
          <w:rFonts w:ascii="Times New Roman" w:hAnsi="Times New Roman" w:cs="Times New Roman"/>
        </w:rPr>
        <w:t>Prepare and produce a formal presentation of their Capstone Project and present their most current Prototype.</w:t>
      </w:r>
    </w:p>
    <w:p w14:paraId="1B79D918" w14:textId="77777777" w:rsidR="00BA53FB" w:rsidRPr="008647B2" w:rsidRDefault="00BA53FB" w:rsidP="00BA53FB">
      <w:pPr>
        <w:pStyle w:val="ListParagraph"/>
        <w:spacing w:after="0" w:line="240" w:lineRule="auto"/>
        <w:rPr>
          <w:rFonts w:ascii="Times New Roman" w:hAnsi="Times New Roman" w:cs="Times New Roman"/>
        </w:rPr>
      </w:pPr>
    </w:p>
    <w:p w14:paraId="053691D1" w14:textId="56C1E9BA" w:rsidR="00B9300D" w:rsidRPr="008647B2" w:rsidRDefault="00B9300D" w:rsidP="00D50789">
      <w:r w:rsidRPr="008647B2">
        <w:rPr>
          <w:b/>
          <w:color w:val="991B1E"/>
        </w:rPr>
        <w:t>Course Format / Instructional Methods</w:t>
      </w:r>
    </w:p>
    <w:p w14:paraId="2FC3EB1E" w14:textId="77777777" w:rsidR="00BA53FB" w:rsidRPr="008647B2" w:rsidRDefault="00BA53FB" w:rsidP="00BA53FB">
      <w:pPr>
        <w:pStyle w:val="BodyText"/>
        <w:spacing w:after="0"/>
        <w:rPr>
          <w:rFonts w:ascii="Times New Roman" w:hAnsi="Times New Roman"/>
          <w:color w:val="000000"/>
          <w:szCs w:val="20"/>
        </w:rPr>
      </w:pPr>
      <w:r w:rsidRPr="008647B2">
        <w:rPr>
          <w:rFonts w:ascii="Times New Roman" w:hAnsi="Times New Roman"/>
          <w:color w:val="000000"/>
          <w:szCs w:val="20"/>
        </w:rPr>
        <w:t>The course format will consist of multi-perspective workshops and will rely on collaboration within curated experiences, such as formal presentations and panel discussions. Confidentiality of material shared in class will be maintained where appropriate. Because exchange of ideas is an integral part of the learning process, students are required to participate in residency and be prepared to discuss current knowledge areas, their peers’ projects, and the progress of their own work. Each day, students will be asked to reflect on their work through a variety of methods in terms of their progress, experience, impact, and leadership.</w:t>
      </w:r>
    </w:p>
    <w:p w14:paraId="0BB06AEF" w14:textId="77777777" w:rsidR="002D4DA2" w:rsidRPr="008647B2" w:rsidRDefault="002D4DA2" w:rsidP="00295652"/>
    <w:p w14:paraId="3CCAE5D3" w14:textId="36CD0C00" w:rsidR="007D3B8A" w:rsidRPr="008647B2" w:rsidRDefault="007D3B8A" w:rsidP="00D50789">
      <w:r w:rsidRPr="008647B2">
        <w:rPr>
          <w:b/>
          <w:color w:val="991B1E"/>
        </w:rPr>
        <w:t>Student Learning Outcomes</w:t>
      </w:r>
    </w:p>
    <w:p w14:paraId="364BBBA8" w14:textId="03B98C45" w:rsidR="00BA53FB" w:rsidRPr="008647B2" w:rsidRDefault="00BA53FB" w:rsidP="00BA53FB">
      <w:pPr>
        <w:shd w:val="clear" w:color="auto" w:fill="FFFFFF"/>
        <w:rPr>
          <w:color w:val="212121"/>
          <w:sz w:val="20"/>
          <w:szCs w:val="20"/>
        </w:rPr>
      </w:pPr>
      <w:r w:rsidRPr="008647B2">
        <w:rPr>
          <w:iCs/>
          <w:color w:val="212121"/>
          <w:sz w:val="20"/>
          <w:szCs w:val="20"/>
        </w:rPr>
        <w:t>The Residency 2 experience will help students practice and refine skills they have learned in the previous five semesters and learn new skills as they further develop as social work leaders. In particular, over the sixth semester students will exhibit the following competencies:</w:t>
      </w:r>
    </w:p>
    <w:tbl>
      <w:tblPr>
        <w:tblW w:w="90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638"/>
        <w:gridCol w:w="7388"/>
      </w:tblGrid>
      <w:tr w:rsidR="00BA53FB" w:rsidRPr="008647B2" w14:paraId="6E0AD6B3" w14:textId="77777777" w:rsidTr="00D6272C">
        <w:trPr>
          <w:trHeight w:val="493"/>
          <w:tblHeader/>
        </w:trPr>
        <w:tc>
          <w:tcPr>
            <w:tcW w:w="1638" w:type="dxa"/>
            <w:tcBorders>
              <w:top w:val="single" w:sz="8" w:space="0" w:color="C0504D"/>
              <w:left w:val="single" w:sz="8" w:space="0" w:color="C0504D"/>
              <w:bottom w:val="single" w:sz="8" w:space="0" w:color="C0504D"/>
              <w:right w:val="nil"/>
            </w:tcBorders>
            <w:shd w:val="clear" w:color="auto" w:fill="C00000"/>
            <w:tcMar>
              <w:top w:w="80" w:type="dxa"/>
              <w:left w:w="80" w:type="dxa"/>
              <w:bottom w:w="80" w:type="dxa"/>
              <w:right w:w="80" w:type="dxa"/>
            </w:tcMar>
          </w:tcPr>
          <w:p w14:paraId="126AFD97" w14:textId="77777777" w:rsidR="00BA53FB" w:rsidRPr="008647B2" w:rsidRDefault="00BA53FB" w:rsidP="00D6272C">
            <w:pPr>
              <w:keepNext/>
              <w:pBdr>
                <w:top w:val="nil"/>
                <w:left w:val="nil"/>
                <w:bottom w:val="nil"/>
                <w:right w:val="nil"/>
                <w:between w:val="nil"/>
                <w:bar w:val="nil"/>
              </w:pBdr>
              <w:jc w:val="center"/>
              <w:rPr>
                <w:rFonts w:eastAsia="Arial"/>
                <w:color w:val="000000"/>
                <w:sz w:val="20"/>
                <w:szCs w:val="20"/>
                <w:u w:color="000000"/>
                <w:bdr w:val="nil"/>
              </w:rPr>
            </w:pPr>
            <w:r w:rsidRPr="008647B2">
              <w:rPr>
                <w:rFonts w:eastAsia="Arial"/>
                <w:b/>
                <w:bCs/>
                <w:color w:val="FFFFFF"/>
                <w:sz w:val="20"/>
                <w:szCs w:val="20"/>
                <w:u w:color="FFFFFF"/>
                <w:bdr w:val="nil"/>
              </w:rPr>
              <w:t>Objective Number</w:t>
            </w:r>
          </w:p>
        </w:tc>
        <w:tc>
          <w:tcPr>
            <w:tcW w:w="7388" w:type="dxa"/>
            <w:tcBorders>
              <w:top w:val="single" w:sz="8" w:space="0" w:color="C0504D"/>
              <w:left w:val="nil"/>
              <w:bottom w:val="single" w:sz="8" w:space="0" w:color="C0504D"/>
              <w:right w:val="single" w:sz="8" w:space="0" w:color="C0504D"/>
            </w:tcBorders>
            <w:shd w:val="clear" w:color="auto" w:fill="C00000"/>
            <w:tcMar>
              <w:top w:w="80" w:type="dxa"/>
              <w:left w:w="80" w:type="dxa"/>
              <w:bottom w:w="80" w:type="dxa"/>
              <w:right w:w="80" w:type="dxa"/>
            </w:tcMar>
          </w:tcPr>
          <w:p w14:paraId="2D8F505D" w14:textId="77777777" w:rsidR="00BA53FB" w:rsidRPr="008647B2" w:rsidRDefault="00BA53FB" w:rsidP="00D6272C">
            <w:pPr>
              <w:keepNext/>
              <w:pBdr>
                <w:top w:val="nil"/>
                <w:left w:val="nil"/>
                <w:bottom w:val="nil"/>
                <w:right w:val="nil"/>
                <w:between w:val="nil"/>
                <w:bar w:val="nil"/>
              </w:pBdr>
              <w:rPr>
                <w:rFonts w:eastAsia="Arial"/>
                <w:color w:val="000000"/>
                <w:sz w:val="20"/>
                <w:szCs w:val="20"/>
                <w:u w:color="000000"/>
                <w:bdr w:val="nil"/>
              </w:rPr>
            </w:pPr>
            <w:r w:rsidRPr="008647B2">
              <w:rPr>
                <w:rFonts w:eastAsia="Arial"/>
                <w:b/>
                <w:bCs/>
                <w:color w:val="FFFFFF"/>
                <w:sz w:val="20"/>
                <w:szCs w:val="20"/>
                <w:u w:color="FFFFFF"/>
                <w:bdr w:val="nil"/>
              </w:rPr>
              <w:t>Objectives</w:t>
            </w:r>
          </w:p>
        </w:tc>
      </w:tr>
      <w:tr w:rsidR="00BA53FB" w:rsidRPr="008647B2" w14:paraId="4484F4F9" w14:textId="77777777" w:rsidTr="00BA53FB">
        <w:tblPrEx>
          <w:shd w:val="clear" w:color="auto" w:fill="D0DDEF"/>
        </w:tblPrEx>
        <w:trPr>
          <w:trHeight w:val="629"/>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30DB85D8" w14:textId="77777777" w:rsidR="00BA53FB" w:rsidRPr="008647B2" w:rsidRDefault="00BA53FB" w:rsidP="00D6272C">
            <w:pPr>
              <w:pBdr>
                <w:top w:val="nil"/>
                <w:left w:val="nil"/>
                <w:bottom w:val="nil"/>
                <w:right w:val="nil"/>
                <w:between w:val="nil"/>
                <w:bar w:val="nil"/>
              </w:pBdr>
              <w:jc w:val="center"/>
              <w:rPr>
                <w:rFonts w:eastAsia="Arial"/>
                <w:color w:val="000000"/>
                <w:sz w:val="20"/>
                <w:szCs w:val="20"/>
                <w:u w:color="000000"/>
                <w:bdr w:val="nil"/>
              </w:rPr>
            </w:pPr>
            <w:r w:rsidRPr="008647B2">
              <w:rPr>
                <w:rFonts w:eastAsia="Arial"/>
                <w:color w:val="000000"/>
                <w:sz w:val="20"/>
                <w:szCs w:val="20"/>
                <w:u w:color="000000"/>
                <w:bdr w:val="nil"/>
              </w:rPr>
              <w:t>1</w:t>
            </w:r>
          </w:p>
        </w:tc>
        <w:tc>
          <w:tcPr>
            <w:tcW w:w="7388"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54AB23B0" w14:textId="0DCF5A17" w:rsidR="00BA53FB" w:rsidRPr="008647B2" w:rsidRDefault="00BA53FB" w:rsidP="00BA53FB">
            <w:pPr>
              <w:rPr>
                <w:sz w:val="20"/>
                <w:szCs w:val="20"/>
              </w:rPr>
            </w:pPr>
            <w:r w:rsidRPr="008647B2">
              <w:rPr>
                <w:sz w:val="20"/>
                <w:szCs w:val="20"/>
              </w:rPr>
              <w:t>Master creative, expansive, and rigorous design principles that advance innovation and invention in social solutions. [DSW 1, 3]</w:t>
            </w:r>
          </w:p>
        </w:tc>
      </w:tr>
      <w:tr w:rsidR="00BA53FB" w:rsidRPr="008647B2" w14:paraId="254C0ED4" w14:textId="77777777" w:rsidTr="00BA53FB">
        <w:tblPrEx>
          <w:shd w:val="clear" w:color="auto" w:fill="D0DDEF"/>
        </w:tblPrEx>
        <w:trPr>
          <w:trHeight w:val="341"/>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3BB6CCB9" w14:textId="77777777" w:rsidR="00BA53FB" w:rsidRPr="008647B2" w:rsidRDefault="00BA53FB" w:rsidP="00D6272C">
            <w:pPr>
              <w:pBdr>
                <w:top w:val="nil"/>
                <w:left w:val="nil"/>
                <w:bottom w:val="nil"/>
                <w:right w:val="nil"/>
                <w:between w:val="nil"/>
                <w:bar w:val="nil"/>
              </w:pBdr>
              <w:jc w:val="center"/>
              <w:rPr>
                <w:rFonts w:eastAsia="Arial"/>
                <w:color w:val="000000"/>
                <w:sz w:val="20"/>
                <w:szCs w:val="20"/>
                <w:u w:color="000000"/>
                <w:bdr w:val="nil"/>
              </w:rPr>
            </w:pPr>
            <w:r w:rsidRPr="008647B2">
              <w:rPr>
                <w:rFonts w:eastAsia="Arial"/>
                <w:color w:val="000000"/>
                <w:sz w:val="20"/>
                <w:szCs w:val="20"/>
                <w:u w:color="000000"/>
                <w:bdr w:val="nil"/>
              </w:rPr>
              <w:t>2</w:t>
            </w:r>
          </w:p>
        </w:tc>
        <w:tc>
          <w:tcPr>
            <w:tcW w:w="7388"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0997F2D8" w14:textId="73846B75" w:rsidR="00BA53FB" w:rsidRPr="008647B2" w:rsidRDefault="00BA53FB" w:rsidP="00BA53FB">
            <w:pPr>
              <w:rPr>
                <w:sz w:val="20"/>
                <w:szCs w:val="20"/>
              </w:rPr>
            </w:pPr>
            <w:r w:rsidRPr="008647B2">
              <w:rPr>
                <w:sz w:val="20"/>
                <w:szCs w:val="20"/>
              </w:rPr>
              <w:t>Accurately map the organizational and policy environment affecting options for social change. [DSW 1, 7]</w:t>
            </w:r>
          </w:p>
        </w:tc>
      </w:tr>
      <w:tr w:rsidR="00BA53FB" w:rsidRPr="008647B2" w14:paraId="53523E33" w14:textId="77777777" w:rsidTr="00D6272C">
        <w:tblPrEx>
          <w:shd w:val="clear" w:color="auto" w:fill="D0DDEF"/>
        </w:tblPrEx>
        <w:trPr>
          <w:trHeight w:val="404"/>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71E1A3FE" w14:textId="77777777" w:rsidR="00BA53FB" w:rsidRPr="008647B2" w:rsidRDefault="00BA53FB" w:rsidP="00D6272C">
            <w:pPr>
              <w:pBdr>
                <w:top w:val="nil"/>
                <w:left w:val="nil"/>
                <w:bottom w:val="nil"/>
                <w:right w:val="nil"/>
                <w:between w:val="nil"/>
                <w:bar w:val="nil"/>
              </w:pBdr>
              <w:jc w:val="center"/>
              <w:rPr>
                <w:rFonts w:eastAsia="Arial"/>
                <w:color w:val="000000"/>
                <w:sz w:val="20"/>
                <w:szCs w:val="20"/>
                <w:u w:color="000000"/>
                <w:bdr w:val="nil"/>
              </w:rPr>
            </w:pPr>
            <w:r w:rsidRPr="008647B2">
              <w:rPr>
                <w:rFonts w:eastAsia="Arial"/>
                <w:color w:val="000000"/>
                <w:sz w:val="20"/>
                <w:szCs w:val="20"/>
                <w:u w:color="000000"/>
                <w:bdr w:val="nil"/>
              </w:rPr>
              <w:t>3</w:t>
            </w:r>
          </w:p>
        </w:tc>
        <w:tc>
          <w:tcPr>
            <w:tcW w:w="7388"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2D132A80" w14:textId="34B00109" w:rsidR="00BA53FB" w:rsidRPr="008647B2" w:rsidRDefault="00BA53FB" w:rsidP="00BA53FB">
            <w:pPr>
              <w:rPr>
                <w:sz w:val="20"/>
                <w:szCs w:val="20"/>
              </w:rPr>
            </w:pPr>
            <w:r w:rsidRPr="008647B2">
              <w:rPr>
                <w:sz w:val="20"/>
                <w:szCs w:val="20"/>
              </w:rPr>
              <w:t>Confidently employ a variety of media and methods to influence and communicate with professional, political, academic, and general public audiences. [DSW 2, 9]</w:t>
            </w:r>
          </w:p>
        </w:tc>
      </w:tr>
      <w:tr w:rsidR="00BA53FB" w:rsidRPr="008647B2" w14:paraId="0446E675" w14:textId="77777777" w:rsidTr="00BA53FB">
        <w:tblPrEx>
          <w:shd w:val="clear" w:color="auto" w:fill="D0DDEF"/>
        </w:tblPrEx>
        <w:trPr>
          <w:trHeight w:val="413"/>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1529123B" w14:textId="77777777" w:rsidR="00BA53FB" w:rsidRPr="008647B2" w:rsidRDefault="00BA53FB" w:rsidP="00D6272C">
            <w:pPr>
              <w:pBdr>
                <w:top w:val="nil"/>
                <w:left w:val="nil"/>
                <w:bottom w:val="nil"/>
                <w:right w:val="nil"/>
                <w:between w:val="nil"/>
                <w:bar w:val="nil"/>
              </w:pBdr>
              <w:jc w:val="center"/>
              <w:rPr>
                <w:rFonts w:eastAsia="Arial"/>
                <w:color w:val="000000"/>
                <w:sz w:val="20"/>
                <w:szCs w:val="20"/>
                <w:u w:color="000000"/>
                <w:bdr w:val="nil"/>
              </w:rPr>
            </w:pPr>
            <w:r w:rsidRPr="008647B2">
              <w:rPr>
                <w:rFonts w:eastAsia="Arial"/>
                <w:color w:val="000000"/>
                <w:sz w:val="20"/>
                <w:szCs w:val="20"/>
                <w:u w:color="000000"/>
                <w:bdr w:val="nil"/>
              </w:rPr>
              <w:t>4</w:t>
            </w:r>
          </w:p>
        </w:tc>
        <w:tc>
          <w:tcPr>
            <w:tcW w:w="7388"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63AD23E5" w14:textId="77777777" w:rsidR="00BA53FB" w:rsidRPr="008647B2" w:rsidRDefault="00BA53FB" w:rsidP="00D6272C">
            <w:pPr>
              <w:pStyle w:val="BodyText"/>
              <w:spacing w:after="0"/>
              <w:rPr>
                <w:rFonts w:ascii="Times New Roman" w:hAnsi="Times New Roman"/>
                <w:szCs w:val="20"/>
              </w:rPr>
            </w:pPr>
            <w:r w:rsidRPr="008647B2">
              <w:rPr>
                <w:rFonts w:ascii="Times New Roman" w:hAnsi="Times New Roman"/>
                <w:szCs w:val="20"/>
              </w:rPr>
              <w:t>Articulate, communicate, and present their full Capstone Project to a review committee of DSW faculty. [DSW 1-9]</w:t>
            </w:r>
          </w:p>
        </w:tc>
      </w:tr>
    </w:tbl>
    <w:p w14:paraId="102563CA" w14:textId="77777777" w:rsidR="001A449D" w:rsidRDefault="001A449D" w:rsidP="004424B2"/>
    <w:p w14:paraId="3B25EA4A" w14:textId="79DC368B" w:rsidR="004424B2" w:rsidRPr="008647B2" w:rsidRDefault="004424B2" w:rsidP="004424B2">
      <w:r w:rsidRPr="008647B2">
        <w:t xml:space="preserve">See </w:t>
      </w:r>
      <w:r w:rsidRPr="008647B2">
        <w:rPr>
          <w:b/>
          <w:color w:val="991B1E"/>
        </w:rPr>
        <w:t>Appendix A</w:t>
      </w:r>
      <w:r w:rsidRPr="008647B2">
        <w:t xml:space="preserve"> for a</w:t>
      </w:r>
      <w:r w:rsidR="003B26AE" w:rsidRPr="008647B2">
        <w:t xml:space="preserve">n expanded </w:t>
      </w:r>
      <w:r w:rsidRPr="008647B2">
        <w:t xml:space="preserve">table, which </w:t>
      </w:r>
      <w:r w:rsidR="003B26AE" w:rsidRPr="008647B2">
        <w:t xml:space="preserve">details </w:t>
      </w:r>
      <w:r w:rsidRPr="008647B2">
        <w:t xml:space="preserve">the </w:t>
      </w:r>
      <w:proofErr w:type="spellStart"/>
      <w:r w:rsidRPr="008647B2">
        <w:t>cmpetencies</w:t>
      </w:r>
      <w:proofErr w:type="spellEnd"/>
      <w:r w:rsidRPr="008647B2">
        <w:t xml:space="preserve"> </w:t>
      </w:r>
      <w:r w:rsidR="003B26AE" w:rsidRPr="008647B2">
        <w:t xml:space="preserve">and dimensions of competence </w:t>
      </w:r>
      <w:r w:rsidRPr="008647B2">
        <w:t>highlighted in this course</w:t>
      </w:r>
      <w:r w:rsidR="003B26AE" w:rsidRPr="008647B2">
        <w:t xml:space="preserve">.  The table also shows </w:t>
      </w:r>
      <w:r w:rsidRPr="008647B2">
        <w:t xml:space="preserve">the </w:t>
      </w:r>
      <w:r w:rsidR="003B26AE" w:rsidRPr="008647B2">
        <w:t xml:space="preserve">course objective(s), behaviors/indicators of competence, and course content and assignments </w:t>
      </w:r>
      <w:r w:rsidRPr="008647B2">
        <w:t xml:space="preserve">related </w:t>
      </w:r>
      <w:r w:rsidR="003B26AE" w:rsidRPr="008647B2">
        <w:t xml:space="preserve">to each competency highlighted in the course. </w:t>
      </w:r>
    </w:p>
    <w:p w14:paraId="4FF07853" w14:textId="3608CF8C" w:rsidR="004424B2" w:rsidRPr="008647B2" w:rsidRDefault="004424B2" w:rsidP="004424B2">
      <w:pPr>
        <w:rPr>
          <w:b/>
        </w:rPr>
      </w:pPr>
    </w:p>
    <w:p w14:paraId="0B0F0920" w14:textId="5478F34B" w:rsidR="00F70E4C" w:rsidRPr="008647B2" w:rsidRDefault="00F70E4C" w:rsidP="004424B2">
      <w:r w:rsidRPr="008647B2">
        <w:rPr>
          <w:b/>
          <w:color w:val="991B1E"/>
        </w:rPr>
        <w:t>Course Assignments, Due Dates, and Grading</w:t>
      </w:r>
    </w:p>
    <w:tbl>
      <w:tblPr>
        <w:tblStyle w:val="TableGrid"/>
        <w:tblW w:w="8905" w:type="dxa"/>
        <w:tblLook w:val="04A0" w:firstRow="1" w:lastRow="0" w:firstColumn="1" w:lastColumn="0" w:noHBand="0" w:noVBand="1"/>
      </w:tblPr>
      <w:tblGrid>
        <w:gridCol w:w="5575"/>
        <w:gridCol w:w="1890"/>
        <w:gridCol w:w="1440"/>
      </w:tblGrid>
      <w:tr w:rsidR="00BA53FB" w:rsidRPr="008647B2" w14:paraId="5FB19679" w14:textId="77777777" w:rsidTr="00BA53FB">
        <w:tc>
          <w:tcPr>
            <w:tcW w:w="5575" w:type="dxa"/>
            <w:shd w:val="clear" w:color="auto" w:fill="991B1E"/>
          </w:tcPr>
          <w:p w14:paraId="39713952" w14:textId="137D0C95" w:rsidR="00BA53FB" w:rsidRPr="008647B2" w:rsidRDefault="00BA53FB" w:rsidP="00F70E4C">
            <w:pPr>
              <w:jc w:val="center"/>
              <w:rPr>
                <w:b/>
                <w:color w:val="FFFFFF" w:themeColor="background1"/>
              </w:rPr>
            </w:pPr>
            <w:r w:rsidRPr="008647B2">
              <w:rPr>
                <w:b/>
                <w:color w:val="FFFFFF" w:themeColor="background1"/>
              </w:rPr>
              <w:t>Assignment</w:t>
            </w:r>
          </w:p>
        </w:tc>
        <w:tc>
          <w:tcPr>
            <w:tcW w:w="1890" w:type="dxa"/>
            <w:shd w:val="clear" w:color="auto" w:fill="991B1E"/>
          </w:tcPr>
          <w:p w14:paraId="47B0BFD4" w14:textId="14B9FD09" w:rsidR="00BA53FB" w:rsidRPr="008647B2" w:rsidRDefault="00BA53FB" w:rsidP="00F70E4C">
            <w:pPr>
              <w:jc w:val="center"/>
              <w:rPr>
                <w:b/>
                <w:color w:val="FFFFFF" w:themeColor="background1"/>
              </w:rPr>
            </w:pPr>
            <w:r w:rsidRPr="008647B2">
              <w:rPr>
                <w:b/>
                <w:color w:val="FFFFFF" w:themeColor="background1"/>
              </w:rPr>
              <w:t>Due Date</w:t>
            </w:r>
          </w:p>
        </w:tc>
        <w:tc>
          <w:tcPr>
            <w:tcW w:w="1440" w:type="dxa"/>
            <w:shd w:val="clear" w:color="auto" w:fill="991B1E"/>
          </w:tcPr>
          <w:p w14:paraId="62BBF4F7" w14:textId="3F6C07ED" w:rsidR="00BA53FB" w:rsidRPr="008647B2" w:rsidRDefault="00BA53FB" w:rsidP="00F70E4C">
            <w:pPr>
              <w:jc w:val="center"/>
              <w:rPr>
                <w:b/>
                <w:color w:val="FFFFFF" w:themeColor="background1"/>
              </w:rPr>
            </w:pPr>
            <w:r w:rsidRPr="008647B2">
              <w:rPr>
                <w:b/>
                <w:color w:val="FFFFFF" w:themeColor="background1"/>
              </w:rPr>
              <w:t>% of Final Grade</w:t>
            </w:r>
          </w:p>
        </w:tc>
      </w:tr>
      <w:tr w:rsidR="008647B2" w:rsidRPr="008647B2" w14:paraId="0FEB8CD9" w14:textId="23FB95D3" w:rsidTr="00BA53FB">
        <w:tc>
          <w:tcPr>
            <w:tcW w:w="5575" w:type="dxa"/>
          </w:tcPr>
          <w:p w14:paraId="3AE68BA1" w14:textId="1590166B" w:rsidR="008647B2" w:rsidRPr="008647B2" w:rsidRDefault="008647B2" w:rsidP="008647B2">
            <w:r w:rsidRPr="008647B2">
              <w:rPr>
                <w:sz w:val="20"/>
                <w:szCs w:val="20"/>
              </w:rPr>
              <w:t xml:space="preserve">Assignment </w:t>
            </w:r>
            <w:r>
              <w:rPr>
                <w:sz w:val="20"/>
                <w:szCs w:val="20"/>
              </w:rPr>
              <w:t>1</w:t>
            </w:r>
            <w:r w:rsidRPr="008647B2">
              <w:rPr>
                <w:sz w:val="20"/>
                <w:szCs w:val="20"/>
              </w:rPr>
              <w:t>: Advocacy Experience and Materials</w:t>
            </w:r>
          </w:p>
        </w:tc>
        <w:tc>
          <w:tcPr>
            <w:tcW w:w="1890" w:type="dxa"/>
          </w:tcPr>
          <w:p w14:paraId="39877A01" w14:textId="53B8C896" w:rsidR="008647B2" w:rsidRPr="008647B2" w:rsidRDefault="008647B2" w:rsidP="008647B2">
            <w:pPr>
              <w:ind w:left="297"/>
              <w:jc w:val="center"/>
              <w:rPr>
                <w:sz w:val="20"/>
                <w:szCs w:val="20"/>
              </w:rPr>
            </w:pPr>
            <w:r w:rsidRPr="008647B2">
              <w:rPr>
                <w:sz w:val="20"/>
                <w:szCs w:val="20"/>
              </w:rPr>
              <w:t xml:space="preserve">Tuesday, Residency Week </w:t>
            </w:r>
          </w:p>
        </w:tc>
        <w:tc>
          <w:tcPr>
            <w:tcW w:w="1440" w:type="dxa"/>
          </w:tcPr>
          <w:p w14:paraId="1D603C07" w14:textId="72F3F86F" w:rsidR="008647B2" w:rsidRPr="008647B2" w:rsidRDefault="008647B2" w:rsidP="008647B2">
            <w:r w:rsidRPr="008647B2">
              <w:rPr>
                <w:sz w:val="20"/>
                <w:szCs w:val="20"/>
              </w:rPr>
              <w:t>10%</w:t>
            </w:r>
          </w:p>
        </w:tc>
      </w:tr>
      <w:tr w:rsidR="008647B2" w:rsidRPr="008647B2" w14:paraId="6CE0319F" w14:textId="77777777" w:rsidTr="00BA53FB">
        <w:tc>
          <w:tcPr>
            <w:tcW w:w="5575" w:type="dxa"/>
          </w:tcPr>
          <w:p w14:paraId="4F35ACA7" w14:textId="77777777" w:rsidR="008647B2" w:rsidRPr="008647B2" w:rsidRDefault="008647B2" w:rsidP="008647B2">
            <w:pPr>
              <w:rPr>
                <w:sz w:val="20"/>
                <w:szCs w:val="20"/>
              </w:rPr>
            </w:pPr>
            <w:r w:rsidRPr="008647B2">
              <w:rPr>
                <w:sz w:val="20"/>
                <w:szCs w:val="20"/>
              </w:rPr>
              <w:t xml:space="preserve">Assignment </w:t>
            </w:r>
            <w:r>
              <w:rPr>
                <w:sz w:val="20"/>
                <w:szCs w:val="20"/>
              </w:rPr>
              <w:t>2</w:t>
            </w:r>
            <w:r w:rsidRPr="008647B2">
              <w:rPr>
                <w:sz w:val="20"/>
                <w:szCs w:val="20"/>
              </w:rPr>
              <w:t>: Presentation Rehearsal</w:t>
            </w:r>
          </w:p>
          <w:p w14:paraId="0606284F" w14:textId="592D7575" w:rsidR="008647B2" w:rsidRPr="008A1320" w:rsidRDefault="008647B2" w:rsidP="008647B2">
            <w:pPr>
              <w:rPr>
                <w:sz w:val="20"/>
                <w:szCs w:val="20"/>
              </w:rPr>
            </w:pPr>
            <w:r w:rsidRPr="008A1320">
              <w:rPr>
                <w:sz w:val="20"/>
                <w:szCs w:val="20"/>
              </w:rPr>
              <w:t>Peer Feedback</w:t>
            </w:r>
          </w:p>
        </w:tc>
        <w:tc>
          <w:tcPr>
            <w:tcW w:w="1890" w:type="dxa"/>
          </w:tcPr>
          <w:p w14:paraId="35450C68" w14:textId="3FFFEDD5" w:rsidR="008647B2" w:rsidRPr="008647B2" w:rsidRDefault="008647B2" w:rsidP="008647B2">
            <w:pPr>
              <w:rPr>
                <w:sz w:val="20"/>
                <w:szCs w:val="20"/>
              </w:rPr>
            </w:pPr>
            <w:r w:rsidRPr="008647B2">
              <w:rPr>
                <w:sz w:val="20"/>
                <w:szCs w:val="20"/>
              </w:rPr>
              <w:t>Week 1</w:t>
            </w:r>
            <w:r>
              <w:rPr>
                <w:sz w:val="20"/>
                <w:szCs w:val="20"/>
              </w:rPr>
              <w:t>1</w:t>
            </w:r>
          </w:p>
        </w:tc>
        <w:tc>
          <w:tcPr>
            <w:tcW w:w="1440" w:type="dxa"/>
          </w:tcPr>
          <w:p w14:paraId="34F9C3FB" w14:textId="5853E689" w:rsidR="008647B2" w:rsidRPr="008647B2" w:rsidRDefault="008647B2" w:rsidP="008647B2">
            <w:pPr>
              <w:rPr>
                <w:sz w:val="20"/>
                <w:szCs w:val="20"/>
              </w:rPr>
            </w:pPr>
            <w:r w:rsidRPr="008647B2">
              <w:rPr>
                <w:sz w:val="20"/>
                <w:szCs w:val="20"/>
              </w:rPr>
              <w:t>10%</w:t>
            </w:r>
          </w:p>
        </w:tc>
      </w:tr>
      <w:tr w:rsidR="008647B2" w:rsidRPr="008647B2" w14:paraId="0AA58BC1" w14:textId="17523697" w:rsidTr="00BA53FB">
        <w:tc>
          <w:tcPr>
            <w:tcW w:w="5575" w:type="dxa"/>
          </w:tcPr>
          <w:p w14:paraId="220B21C2" w14:textId="451EFEFE" w:rsidR="008647B2" w:rsidRPr="008647B2" w:rsidRDefault="008647B2" w:rsidP="008647B2">
            <w:r w:rsidRPr="008647B2">
              <w:rPr>
                <w:sz w:val="20"/>
                <w:szCs w:val="20"/>
              </w:rPr>
              <w:t>Assignment 3: Capstone Presentation (Including Slide Deck) and Prototype</w:t>
            </w:r>
          </w:p>
        </w:tc>
        <w:tc>
          <w:tcPr>
            <w:tcW w:w="1890" w:type="dxa"/>
          </w:tcPr>
          <w:p w14:paraId="201AC62D" w14:textId="3E92A1F8" w:rsidR="008647B2" w:rsidRPr="008647B2" w:rsidRDefault="008647B2" w:rsidP="008647B2">
            <w:r w:rsidRPr="008647B2">
              <w:rPr>
                <w:sz w:val="20"/>
                <w:szCs w:val="20"/>
              </w:rPr>
              <w:t xml:space="preserve">Day of Presentation </w:t>
            </w:r>
          </w:p>
        </w:tc>
        <w:tc>
          <w:tcPr>
            <w:tcW w:w="1440" w:type="dxa"/>
          </w:tcPr>
          <w:p w14:paraId="3E3176C0" w14:textId="120F7B41" w:rsidR="008647B2" w:rsidRPr="008647B2" w:rsidRDefault="008647B2" w:rsidP="008647B2">
            <w:r w:rsidRPr="008647B2">
              <w:rPr>
                <w:sz w:val="20"/>
                <w:szCs w:val="20"/>
              </w:rPr>
              <w:t>60%</w:t>
            </w:r>
          </w:p>
        </w:tc>
      </w:tr>
      <w:tr w:rsidR="008647B2" w:rsidRPr="008647B2" w14:paraId="3FD73C05" w14:textId="77777777" w:rsidTr="00BA53FB">
        <w:tc>
          <w:tcPr>
            <w:tcW w:w="5575" w:type="dxa"/>
          </w:tcPr>
          <w:p w14:paraId="361B5B61" w14:textId="4C785178" w:rsidR="008647B2" w:rsidRPr="008647B2" w:rsidRDefault="008647B2" w:rsidP="008647B2">
            <w:pPr>
              <w:rPr>
                <w:sz w:val="20"/>
                <w:szCs w:val="20"/>
              </w:rPr>
            </w:pPr>
            <w:r w:rsidRPr="008647B2">
              <w:rPr>
                <w:sz w:val="20"/>
                <w:szCs w:val="20"/>
              </w:rPr>
              <w:lastRenderedPageBreak/>
              <w:t xml:space="preserve">Meaningful Class Participation and </w:t>
            </w:r>
            <w:r>
              <w:rPr>
                <w:sz w:val="20"/>
                <w:szCs w:val="20"/>
              </w:rPr>
              <w:t>Design</w:t>
            </w:r>
            <w:r w:rsidRPr="008647B2">
              <w:rPr>
                <w:sz w:val="20"/>
                <w:szCs w:val="20"/>
              </w:rPr>
              <w:t xml:space="preserve"> Exercises</w:t>
            </w:r>
          </w:p>
        </w:tc>
        <w:tc>
          <w:tcPr>
            <w:tcW w:w="1890" w:type="dxa"/>
          </w:tcPr>
          <w:p w14:paraId="528D6291" w14:textId="1A5C80DC" w:rsidR="008647B2" w:rsidRPr="008647B2" w:rsidRDefault="008647B2" w:rsidP="008647B2">
            <w:r w:rsidRPr="008647B2">
              <w:rPr>
                <w:sz w:val="20"/>
                <w:szCs w:val="20"/>
              </w:rPr>
              <w:t>Ongoing</w:t>
            </w:r>
          </w:p>
        </w:tc>
        <w:tc>
          <w:tcPr>
            <w:tcW w:w="1440" w:type="dxa"/>
          </w:tcPr>
          <w:p w14:paraId="150B35B6" w14:textId="3CFD27E3" w:rsidR="008647B2" w:rsidRPr="008647B2" w:rsidRDefault="008647B2" w:rsidP="008647B2">
            <w:pPr>
              <w:rPr>
                <w:sz w:val="20"/>
                <w:szCs w:val="20"/>
              </w:rPr>
            </w:pPr>
            <w:r w:rsidRPr="008647B2">
              <w:rPr>
                <w:sz w:val="20"/>
                <w:szCs w:val="20"/>
              </w:rPr>
              <w:t>20%</w:t>
            </w:r>
          </w:p>
        </w:tc>
      </w:tr>
    </w:tbl>
    <w:p w14:paraId="797AB430" w14:textId="77777777" w:rsidR="00F054C3" w:rsidRPr="008647B2" w:rsidRDefault="00F054C3" w:rsidP="00F70E4C"/>
    <w:p w14:paraId="6D91E614" w14:textId="1134920B" w:rsidR="008647B2" w:rsidRPr="008647B2" w:rsidRDefault="008647B2" w:rsidP="008647B2">
      <w:pPr>
        <w:pStyle w:val="Heading2"/>
        <w:spacing w:after="0"/>
        <w:rPr>
          <w:rFonts w:ascii="Times New Roman" w:hAnsi="Times New Roman"/>
          <w:b w:val="0"/>
          <w:bCs w:val="0"/>
          <w:sz w:val="22"/>
          <w:szCs w:val="22"/>
        </w:rPr>
      </w:pPr>
      <w:r w:rsidRPr="008647B2">
        <w:rPr>
          <w:rFonts w:ascii="Times New Roman" w:hAnsi="Times New Roman"/>
          <w:sz w:val="22"/>
          <w:szCs w:val="22"/>
        </w:rPr>
        <w:t>Assignment 1: Advocacy Experience and Materials.</w:t>
      </w:r>
      <w:r w:rsidRPr="008647B2">
        <w:rPr>
          <w:rFonts w:ascii="Times New Roman" w:hAnsi="Times New Roman"/>
          <w:b w:val="0"/>
          <w:bCs w:val="0"/>
          <w:sz w:val="22"/>
          <w:szCs w:val="22"/>
        </w:rPr>
        <w:t xml:space="preserve"> </w:t>
      </w:r>
    </w:p>
    <w:p w14:paraId="5F24050A" w14:textId="77777777" w:rsidR="008647B2" w:rsidRPr="008647B2" w:rsidRDefault="008647B2" w:rsidP="008647B2">
      <w:pPr>
        <w:pStyle w:val="Heading2"/>
        <w:spacing w:after="0"/>
        <w:rPr>
          <w:rFonts w:ascii="Times New Roman" w:hAnsi="Times New Roman"/>
          <w:sz w:val="22"/>
          <w:szCs w:val="22"/>
        </w:rPr>
      </w:pPr>
      <w:r w:rsidRPr="008647B2">
        <w:rPr>
          <w:rFonts w:ascii="Times New Roman" w:hAnsi="Times New Roman"/>
          <w:sz w:val="22"/>
          <w:szCs w:val="22"/>
        </w:rPr>
        <w:t xml:space="preserve">Due: Tuesday, Residency Week </w:t>
      </w:r>
    </w:p>
    <w:p w14:paraId="03E24321" w14:textId="77777777" w:rsidR="008647B2" w:rsidRPr="008647B2" w:rsidRDefault="008647B2" w:rsidP="008647B2">
      <w:pPr>
        <w:pStyle w:val="Heading2"/>
        <w:spacing w:after="0"/>
        <w:rPr>
          <w:rFonts w:ascii="Times New Roman" w:hAnsi="Times New Roman"/>
          <w:b w:val="0"/>
          <w:bCs w:val="0"/>
          <w:sz w:val="20"/>
          <w:szCs w:val="20"/>
        </w:rPr>
      </w:pPr>
      <w:r w:rsidRPr="008647B2">
        <w:rPr>
          <w:rFonts w:ascii="Times New Roman" w:hAnsi="Times New Roman"/>
          <w:b w:val="0"/>
          <w:bCs w:val="0"/>
          <w:sz w:val="20"/>
          <w:szCs w:val="20"/>
        </w:rPr>
        <w:t xml:space="preserve">Students will present to a public official’s office or other stakeholder relevant to their Grand Challenge area and/or innovation focus of their Capstone Project. Advocacy appointments must be supplemented with written materials to leave with the office. Materials should include (but are not limited to) a one-page infographic of the Grand Challenge issue </w:t>
      </w:r>
      <w:r w:rsidRPr="008647B2">
        <w:rPr>
          <w:rFonts w:ascii="Times New Roman" w:hAnsi="Times New Roman"/>
          <w:b w:val="0"/>
          <w:bCs w:val="0"/>
          <w:sz w:val="20"/>
          <w:szCs w:val="20"/>
          <w:u w:val="single"/>
        </w:rPr>
        <w:t>and</w:t>
      </w:r>
      <w:r w:rsidRPr="008647B2">
        <w:rPr>
          <w:rFonts w:ascii="Times New Roman" w:hAnsi="Times New Roman"/>
          <w:b w:val="0"/>
          <w:bCs w:val="0"/>
          <w:sz w:val="20"/>
          <w:szCs w:val="20"/>
        </w:rPr>
        <w:t xml:space="preserve"> a one-page call to action. Students will inform their Capstone 2 (SOWK 722) and Residency II (SOWK 724) instructor as to whom they will be meeting with and why. Students will also provide their Residency II instructor with a copy of the materials/packet.</w:t>
      </w:r>
    </w:p>
    <w:p w14:paraId="218850E8" w14:textId="77777777" w:rsidR="008647B2" w:rsidRDefault="008647B2" w:rsidP="00F70E4C">
      <w:pPr>
        <w:rPr>
          <w:b/>
        </w:rPr>
      </w:pPr>
    </w:p>
    <w:p w14:paraId="3D16C87B" w14:textId="79F370E0" w:rsidR="00F70E4C" w:rsidRPr="008647B2" w:rsidRDefault="00F70E4C" w:rsidP="008647B2">
      <w:pPr>
        <w:rPr>
          <w:b/>
        </w:rPr>
      </w:pPr>
      <w:r w:rsidRPr="008647B2">
        <w:rPr>
          <w:b/>
        </w:rPr>
        <w:t xml:space="preserve">Assignment </w:t>
      </w:r>
      <w:r w:rsidR="008647B2">
        <w:rPr>
          <w:b/>
        </w:rPr>
        <w:t>2</w:t>
      </w:r>
      <w:r w:rsidR="00BA53FB" w:rsidRPr="008647B2">
        <w:rPr>
          <w:b/>
        </w:rPr>
        <w:t>: Presentation Rehearsal</w:t>
      </w:r>
    </w:p>
    <w:p w14:paraId="2E15F1E0" w14:textId="59414AD1" w:rsidR="00F70E4C" w:rsidRPr="008647B2" w:rsidRDefault="00F70E4C" w:rsidP="008647B2">
      <w:pPr>
        <w:rPr>
          <w:b/>
        </w:rPr>
      </w:pPr>
      <w:r w:rsidRPr="008647B2">
        <w:rPr>
          <w:b/>
        </w:rPr>
        <w:t xml:space="preserve">Due:   </w:t>
      </w:r>
      <w:r w:rsidR="00BA53FB" w:rsidRPr="008647B2">
        <w:rPr>
          <w:b/>
        </w:rPr>
        <w:t>Week 1</w:t>
      </w:r>
      <w:r w:rsidR="008647B2">
        <w:rPr>
          <w:b/>
        </w:rPr>
        <w:t>1</w:t>
      </w:r>
    </w:p>
    <w:p w14:paraId="591755A5" w14:textId="77777777" w:rsidR="00BA53FB" w:rsidRPr="008647B2" w:rsidRDefault="00BA53FB" w:rsidP="00BA53FB">
      <w:pPr>
        <w:pStyle w:val="Heading2"/>
        <w:spacing w:after="0"/>
        <w:rPr>
          <w:rFonts w:ascii="Times New Roman" w:hAnsi="Times New Roman"/>
          <w:b w:val="0"/>
          <w:sz w:val="20"/>
          <w:szCs w:val="20"/>
        </w:rPr>
      </w:pPr>
      <w:r w:rsidRPr="008647B2">
        <w:rPr>
          <w:rFonts w:ascii="Times New Roman" w:hAnsi="Times New Roman"/>
          <w:sz w:val="20"/>
          <w:szCs w:val="20"/>
        </w:rPr>
        <w:t xml:space="preserve">Presentation Rehearsal. </w:t>
      </w:r>
      <w:r w:rsidRPr="008647B2">
        <w:rPr>
          <w:rFonts w:ascii="Times New Roman" w:hAnsi="Times New Roman"/>
          <w:b w:val="0"/>
          <w:sz w:val="20"/>
          <w:szCs w:val="20"/>
        </w:rPr>
        <w:t xml:space="preserve">Students will record their presentation using Zoom and upload their video (mp4) to the course wall. Students will view at least </w:t>
      </w:r>
      <w:r w:rsidRPr="008647B2">
        <w:rPr>
          <w:rFonts w:ascii="Times New Roman" w:hAnsi="Times New Roman"/>
          <w:b w:val="0"/>
          <w:sz w:val="20"/>
          <w:szCs w:val="20"/>
          <w:u w:val="single"/>
        </w:rPr>
        <w:t>one</w:t>
      </w:r>
      <w:r w:rsidRPr="008647B2">
        <w:rPr>
          <w:rFonts w:ascii="Times New Roman" w:hAnsi="Times New Roman"/>
          <w:b w:val="0"/>
          <w:sz w:val="20"/>
          <w:szCs w:val="20"/>
        </w:rPr>
        <w:t xml:space="preserve"> other presentation and comment thoughtfully by Unit 11.</w:t>
      </w:r>
    </w:p>
    <w:p w14:paraId="6F3D83FD" w14:textId="77777777" w:rsidR="00BA53FB" w:rsidRPr="008647B2" w:rsidRDefault="00BA53FB" w:rsidP="00BA53FB">
      <w:pPr>
        <w:pStyle w:val="Heading2"/>
        <w:spacing w:after="0"/>
        <w:rPr>
          <w:rFonts w:ascii="Times New Roman" w:hAnsi="Times New Roman"/>
          <w:b w:val="0"/>
          <w:sz w:val="20"/>
          <w:szCs w:val="20"/>
        </w:rPr>
      </w:pPr>
    </w:p>
    <w:p w14:paraId="075ADDCA" w14:textId="22AF2192" w:rsidR="00BA53FB" w:rsidRPr="008647B2" w:rsidRDefault="00BA53FB" w:rsidP="00BA53FB">
      <w:pPr>
        <w:pStyle w:val="Heading2"/>
        <w:spacing w:after="0"/>
        <w:rPr>
          <w:rFonts w:ascii="Times New Roman" w:hAnsi="Times New Roman"/>
          <w:b w:val="0"/>
          <w:sz w:val="20"/>
          <w:szCs w:val="20"/>
        </w:rPr>
      </w:pPr>
      <w:r w:rsidRPr="008647B2">
        <w:rPr>
          <w:rFonts w:ascii="Times New Roman" w:hAnsi="Times New Roman"/>
          <w:b w:val="0"/>
          <w:sz w:val="20"/>
          <w:szCs w:val="20"/>
        </w:rPr>
        <w:t>In order to record the presentation locally, to your computer, go to Zoom. In order to record, students should:</w:t>
      </w:r>
    </w:p>
    <w:p w14:paraId="43FB3C8A" w14:textId="77777777" w:rsidR="00BA53FB" w:rsidRPr="008647B2" w:rsidRDefault="00BA53FB" w:rsidP="00BA53FB">
      <w:pPr>
        <w:pStyle w:val="ListParagraph"/>
        <w:numPr>
          <w:ilvl w:val="0"/>
          <w:numId w:val="12"/>
        </w:numPr>
        <w:spacing w:after="0" w:line="240" w:lineRule="auto"/>
        <w:rPr>
          <w:rFonts w:ascii="Times New Roman" w:hAnsi="Times New Roman" w:cs="Times New Roman"/>
        </w:rPr>
      </w:pPr>
      <w:r w:rsidRPr="008647B2">
        <w:rPr>
          <w:rFonts w:ascii="Times New Roman" w:hAnsi="Times New Roman" w:cs="Times New Roman"/>
        </w:rPr>
        <w:t>Start a meeting</w:t>
      </w:r>
    </w:p>
    <w:p w14:paraId="184E4FC7" w14:textId="77777777" w:rsidR="00BA53FB" w:rsidRPr="008647B2" w:rsidRDefault="00BA53FB" w:rsidP="00BA53FB">
      <w:pPr>
        <w:pStyle w:val="ListParagraph"/>
        <w:numPr>
          <w:ilvl w:val="0"/>
          <w:numId w:val="12"/>
        </w:numPr>
        <w:spacing w:after="0" w:line="240" w:lineRule="auto"/>
        <w:rPr>
          <w:rFonts w:ascii="Times New Roman" w:hAnsi="Times New Roman" w:cs="Times New Roman"/>
        </w:rPr>
      </w:pPr>
      <w:r w:rsidRPr="008647B2">
        <w:rPr>
          <w:rFonts w:ascii="Times New Roman" w:hAnsi="Times New Roman" w:cs="Times New Roman"/>
        </w:rPr>
        <w:t>Click the Record button in the Zoom toolbar (bottom of screen)</w:t>
      </w:r>
    </w:p>
    <w:p w14:paraId="0F575060" w14:textId="77777777" w:rsidR="00BA53FB" w:rsidRPr="008647B2" w:rsidRDefault="00BA53FB" w:rsidP="00BA53FB">
      <w:pPr>
        <w:pStyle w:val="ListParagraph"/>
        <w:numPr>
          <w:ilvl w:val="0"/>
          <w:numId w:val="12"/>
        </w:numPr>
        <w:spacing w:after="0" w:line="240" w:lineRule="auto"/>
        <w:rPr>
          <w:rFonts w:ascii="Times New Roman" w:hAnsi="Times New Roman" w:cs="Times New Roman"/>
        </w:rPr>
      </w:pPr>
      <w:r w:rsidRPr="008647B2">
        <w:rPr>
          <w:rFonts w:ascii="Times New Roman" w:hAnsi="Times New Roman" w:cs="Times New Roman"/>
        </w:rPr>
        <w:t>Select Record to the Cloud to begin recording.</w:t>
      </w:r>
    </w:p>
    <w:p w14:paraId="23B32681" w14:textId="77777777" w:rsidR="00BA53FB" w:rsidRPr="008647B2" w:rsidRDefault="00BA53FB" w:rsidP="00BA53FB">
      <w:pPr>
        <w:pStyle w:val="ListParagraph"/>
        <w:numPr>
          <w:ilvl w:val="0"/>
          <w:numId w:val="12"/>
        </w:numPr>
        <w:spacing w:after="0" w:line="240" w:lineRule="auto"/>
        <w:rPr>
          <w:rFonts w:ascii="Times New Roman" w:hAnsi="Times New Roman" w:cs="Times New Roman"/>
        </w:rPr>
      </w:pPr>
      <w:r w:rsidRPr="008647B2">
        <w:rPr>
          <w:rFonts w:ascii="Times New Roman" w:hAnsi="Times New Roman" w:cs="Times New Roman"/>
        </w:rPr>
        <w:t>To stop recording, click Pause/Stop Recording or End Meeting. Note: Once the recording has been stopped, it will be processed before viewing.</w:t>
      </w:r>
    </w:p>
    <w:p w14:paraId="2AD8DC1C" w14:textId="77777777" w:rsidR="00BA53FB" w:rsidRPr="008647B2" w:rsidRDefault="00BA53FB" w:rsidP="00BA53FB">
      <w:pPr>
        <w:pStyle w:val="ListParagraph"/>
        <w:numPr>
          <w:ilvl w:val="0"/>
          <w:numId w:val="12"/>
        </w:numPr>
        <w:spacing w:after="0" w:line="240" w:lineRule="auto"/>
        <w:rPr>
          <w:rFonts w:ascii="Times New Roman" w:hAnsi="Times New Roman" w:cs="Times New Roman"/>
        </w:rPr>
      </w:pPr>
      <w:r w:rsidRPr="008647B2">
        <w:rPr>
          <w:rFonts w:ascii="Times New Roman" w:hAnsi="Times New Roman" w:cs="Times New Roman"/>
        </w:rPr>
        <w:t>After processing, Zoom will e-mail the recording link to students.</w:t>
      </w:r>
    </w:p>
    <w:p w14:paraId="4F8682E9" w14:textId="77777777" w:rsidR="00BA53FB" w:rsidRPr="008647B2" w:rsidRDefault="00BA53FB" w:rsidP="00BA53FB">
      <w:pPr>
        <w:pStyle w:val="BodyText"/>
        <w:spacing w:after="0"/>
        <w:rPr>
          <w:rFonts w:ascii="Times New Roman" w:hAnsi="Times New Roman"/>
          <w:bCs/>
          <w:szCs w:val="20"/>
        </w:rPr>
      </w:pPr>
    </w:p>
    <w:p w14:paraId="4E2E0DDC" w14:textId="77777777" w:rsidR="00BA53FB" w:rsidRPr="008647B2" w:rsidRDefault="00BA53FB" w:rsidP="00BA53FB">
      <w:pPr>
        <w:pStyle w:val="BodyText"/>
        <w:spacing w:after="0"/>
        <w:rPr>
          <w:rFonts w:ascii="Times New Roman" w:hAnsi="Times New Roman"/>
          <w:b/>
          <w:bCs/>
          <w:sz w:val="22"/>
          <w:szCs w:val="22"/>
        </w:rPr>
      </w:pPr>
      <w:r w:rsidRPr="008647B2">
        <w:rPr>
          <w:rFonts w:ascii="Times New Roman" w:hAnsi="Times New Roman"/>
          <w:b/>
          <w:bCs/>
          <w:sz w:val="22"/>
          <w:szCs w:val="22"/>
        </w:rPr>
        <w:t>Assignment 3: Capstone Presentation (Including Slide Deck and Prototype)</w:t>
      </w:r>
    </w:p>
    <w:p w14:paraId="24855D1F" w14:textId="77777777" w:rsidR="00BA53FB" w:rsidRPr="008647B2" w:rsidRDefault="00BA53FB" w:rsidP="00BA53FB">
      <w:pPr>
        <w:pStyle w:val="BodyText"/>
        <w:spacing w:after="0"/>
        <w:rPr>
          <w:rFonts w:ascii="Times New Roman" w:hAnsi="Times New Roman"/>
          <w:b/>
          <w:bCs/>
          <w:sz w:val="22"/>
          <w:szCs w:val="22"/>
        </w:rPr>
      </w:pPr>
      <w:r w:rsidRPr="008647B2">
        <w:rPr>
          <w:rFonts w:ascii="Times New Roman" w:hAnsi="Times New Roman"/>
          <w:b/>
          <w:bCs/>
          <w:sz w:val="22"/>
          <w:szCs w:val="22"/>
        </w:rPr>
        <w:t xml:space="preserve">Due: Day of Capstone Project Defense Presentation </w:t>
      </w:r>
    </w:p>
    <w:p w14:paraId="76591423" w14:textId="0AFBC948" w:rsidR="00BA53FB" w:rsidRPr="008647B2" w:rsidRDefault="00BA53FB" w:rsidP="00BA53FB">
      <w:pPr>
        <w:pStyle w:val="BodyText"/>
        <w:spacing w:after="0"/>
        <w:rPr>
          <w:rFonts w:ascii="Times New Roman" w:hAnsi="Times New Roman"/>
          <w:szCs w:val="20"/>
        </w:rPr>
      </w:pPr>
      <w:r w:rsidRPr="008647B2">
        <w:rPr>
          <w:rFonts w:ascii="Times New Roman" w:hAnsi="Times New Roman"/>
          <w:bCs/>
          <w:szCs w:val="20"/>
        </w:rPr>
        <w:t xml:space="preserve">Students will </w:t>
      </w:r>
      <w:r w:rsidRPr="008647B2">
        <w:rPr>
          <w:rFonts w:ascii="Times New Roman" w:hAnsi="Times New Roman"/>
          <w:szCs w:val="20"/>
        </w:rPr>
        <w:t>give a formal presentation of their Capstone Project</w:t>
      </w:r>
      <w:r w:rsidRPr="008647B2">
        <w:rPr>
          <w:rFonts w:ascii="Times New Roman" w:hAnsi="Times New Roman"/>
          <w:i/>
          <w:iCs/>
          <w:szCs w:val="20"/>
        </w:rPr>
        <w:t>.</w:t>
      </w:r>
      <w:r w:rsidRPr="008647B2">
        <w:rPr>
          <w:rFonts w:ascii="Times New Roman" w:hAnsi="Times New Roman"/>
          <w:szCs w:val="20"/>
        </w:rPr>
        <w:t xml:space="preserve"> Presentations will be </w:t>
      </w:r>
      <w:r w:rsidRPr="008647B2">
        <w:rPr>
          <w:rFonts w:ascii="Times New Roman" w:hAnsi="Times New Roman"/>
          <w:szCs w:val="20"/>
          <w:u w:val="single"/>
        </w:rPr>
        <w:t>20-minutes long</w:t>
      </w:r>
      <w:r w:rsidRPr="008647B2">
        <w:rPr>
          <w:rFonts w:ascii="Times New Roman" w:hAnsi="Times New Roman"/>
          <w:szCs w:val="20"/>
        </w:rPr>
        <w:t xml:space="preserve"> followed by questions and comments from the review panel. </w:t>
      </w:r>
      <w:r w:rsidRPr="008647B2">
        <w:rPr>
          <w:rFonts w:ascii="Times New Roman" w:hAnsi="Times New Roman"/>
          <w:b/>
          <w:bCs/>
          <w:szCs w:val="20"/>
        </w:rPr>
        <w:t xml:space="preserve">Prototype. </w:t>
      </w:r>
      <w:r w:rsidRPr="008647B2">
        <w:rPr>
          <w:rFonts w:ascii="Times New Roman" w:hAnsi="Times New Roman"/>
          <w:bCs/>
          <w:szCs w:val="20"/>
        </w:rPr>
        <w:t xml:space="preserve">Students will include their Capstone Prototype as outlined by the Capstone Project Standards and Guidelines (See Toolbox A.4). Evidence of their Capstone Prototype must be included in their presentation. The Prototype must also demonstrate that it is implementation ready. </w:t>
      </w:r>
      <w:r w:rsidRPr="008647B2">
        <w:rPr>
          <w:rFonts w:ascii="Times New Roman" w:hAnsi="Times New Roman"/>
          <w:szCs w:val="20"/>
        </w:rPr>
        <w:t xml:space="preserve"> </w:t>
      </w:r>
    </w:p>
    <w:p w14:paraId="52666758" w14:textId="77777777" w:rsidR="00BA53FB" w:rsidRPr="008647B2" w:rsidRDefault="00BA53FB" w:rsidP="00BA53FB">
      <w:pPr>
        <w:pStyle w:val="BodyText"/>
        <w:spacing w:after="0"/>
        <w:rPr>
          <w:rFonts w:ascii="Times New Roman" w:hAnsi="Times New Roman"/>
          <w:szCs w:val="20"/>
        </w:rPr>
      </w:pPr>
    </w:p>
    <w:p w14:paraId="3D9772B6" w14:textId="54583DBB" w:rsidR="00BA53FB" w:rsidRPr="008647B2" w:rsidRDefault="00BA53FB" w:rsidP="00BA53FB">
      <w:pPr>
        <w:pStyle w:val="BodyText"/>
        <w:spacing w:after="0"/>
        <w:rPr>
          <w:rFonts w:ascii="Times New Roman" w:hAnsi="Times New Roman"/>
          <w:szCs w:val="20"/>
        </w:rPr>
      </w:pPr>
      <w:r w:rsidRPr="008647B2">
        <w:rPr>
          <w:rFonts w:ascii="Times New Roman" w:hAnsi="Times New Roman"/>
          <w:b/>
          <w:sz w:val="22"/>
          <w:szCs w:val="22"/>
        </w:rPr>
        <w:t>Meaningful Class Participation</w:t>
      </w:r>
      <w:r w:rsidR="008647B2" w:rsidRPr="008647B2">
        <w:rPr>
          <w:rFonts w:ascii="Times New Roman" w:hAnsi="Times New Roman"/>
          <w:b/>
          <w:sz w:val="22"/>
          <w:szCs w:val="22"/>
        </w:rPr>
        <w:t xml:space="preserve"> and </w:t>
      </w:r>
      <w:proofErr w:type="spellStart"/>
      <w:r w:rsidR="008647B2" w:rsidRPr="008647B2">
        <w:rPr>
          <w:rFonts w:ascii="Times New Roman" w:hAnsi="Times New Roman"/>
          <w:b/>
          <w:sz w:val="22"/>
          <w:szCs w:val="22"/>
        </w:rPr>
        <w:t>Deisgn</w:t>
      </w:r>
      <w:proofErr w:type="spellEnd"/>
      <w:r w:rsidR="008647B2" w:rsidRPr="008647B2">
        <w:rPr>
          <w:rFonts w:ascii="Times New Roman" w:hAnsi="Times New Roman"/>
          <w:b/>
          <w:sz w:val="22"/>
          <w:szCs w:val="22"/>
        </w:rPr>
        <w:t xml:space="preserve"> Exercises</w:t>
      </w:r>
      <w:r w:rsidRPr="008647B2">
        <w:rPr>
          <w:rFonts w:ascii="Times New Roman" w:hAnsi="Times New Roman"/>
          <w:b/>
          <w:sz w:val="22"/>
          <w:szCs w:val="22"/>
        </w:rPr>
        <w:t>.</w:t>
      </w:r>
      <w:r w:rsidRPr="008647B2">
        <w:rPr>
          <w:rFonts w:ascii="Times New Roman" w:hAnsi="Times New Roman"/>
          <w:b/>
          <w:szCs w:val="20"/>
        </w:rPr>
        <w:t xml:space="preserve"> </w:t>
      </w:r>
      <w:r w:rsidRPr="008647B2">
        <w:rPr>
          <w:rFonts w:ascii="Times New Roman" w:hAnsi="Times New Roman"/>
          <w:szCs w:val="20"/>
        </w:rPr>
        <w:t xml:space="preserve">Daily, during the residency, students will be asked to actively engage in class exercises. Exercises are developed to increase creativity, critical thinking, and challenge current ways of “knowing and doing.” Students should be open to new learning modalities and pedagogies of learning. Active engagement means coming to class prepared (having read assigned readings), contributing to the development of a positive learning environment, and demonstrating their perspectives through meaningful participation. Meaningful participation is dependent on attendance and completion of exercises at a minimum of 85%. </w:t>
      </w:r>
    </w:p>
    <w:p w14:paraId="76187E7D" w14:textId="77777777" w:rsidR="00BA53FB" w:rsidRPr="008647B2" w:rsidRDefault="00BA53FB" w:rsidP="00BA53FB">
      <w:pPr>
        <w:pStyle w:val="BodyText"/>
        <w:spacing w:after="0"/>
        <w:rPr>
          <w:rFonts w:ascii="Times New Roman" w:hAnsi="Times New Roman"/>
          <w:szCs w:val="20"/>
        </w:rPr>
      </w:pPr>
    </w:p>
    <w:p w14:paraId="6E1E5599" w14:textId="05720870" w:rsidR="008647B2" w:rsidRPr="008647B2" w:rsidRDefault="00BA53FB" w:rsidP="00BA53FB">
      <w:pPr>
        <w:pStyle w:val="BodyText"/>
        <w:spacing w:after="0"/>
        <w:rPr>
          <w:rFonts w:ascii="Times New Roman" w:hAnsi="Times New Roman"/>
          <w:szCs w:val="20"/>
        </w:rPr>
      </w:pPr>
      <w:r w:rsidRPr="008647B2">
        <w:rPr>
          <w:rFonts w:ascii="Times New Roman" w:hAnsi="Times New Roman"/>
          <w:b/>
          <w:bCs/>
          <w:szCs w:val="20"/>
        </w:rPr>
        <w:t xml:space="preserve">NOTE: </w:t>
      </w:r>
      <w:r w:rsidRPr="008647B2">
        <w:rPr>
          <w:rFonts w:ascii="Times New Roman" w:hAnsi="Times New Roman"/>
          <w:szCs w:val="20"/>
        </w:rPr>
        <w:t xml:space="preserve">Students who are late, leave early, or miss a day will have 5% deducted from their TOTAL </w:t>
      </w:r>
      <w:proofErr w:type="gramStart"/>
      <w:r w:rsidRPr="008647B2">
        <w:rPr>
          <w:rFonts w:ascii="Times New Roman" w:hAnsi="Times New Roman"/>
          <w:szCs w:val="20"/>
        </w:rPr>
        <w:t>GRADE .</w:t>
      </w:r>
      <w:proofErr w:type="gramEnd"/>
    </w:p>
    <w:p w14:paraId="25E0C952" w14:textId="0F135437" w:rsidR="003B26AE" w:rsidRPr="008647B2" w:rsidRDefault="00BA53FB" w:rsidP="00BA53FB">
      <w:pPr>
        <w:pStyle w:val="BodyText"/>
        <w:spacing w:after="0"/>
        <w:rPr>
          <w:rFonts w:ascii="Times New Roman" w:hAnsi="Times New Roman"/>
          <w:szCs w:val="20"/>
        </w:rPr>
      </w:pPr>
      <w:r w:rsidRPr="008647B2">
        <w:rPr>
          <w:rFonts w:ascii="Times New Roman" w:hAnsi="Times New Roman"/>
          <w:szCs w:val="20"/>
        </w:rPr>
        <w:t xml:space="preserve"> </w:t>
      </w:r>
    </w:p>
    <w:p w14:paraId="332C9D63" w14:textId="54D26104" w:rsidR="00F70E4C" w:rsidRPr="008647B2" w:rsidRDefault="00F70E4C" w:rsidP="00F70E4C">
      <w:r w:rsidRPr="008647B2">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8647B2" w14:paraId="791AB5B3" w14:textId="77777777" w:rsidTr="006F4B9D">
        <w:tc>
          <w:tcPr>
            <w:tcW w:w="4674" w:type="dxa"/>
            <w:gridSpan w:val="2"/>
            <w:shd w:val="clear" w:color="auto" w:fill="991B1E"/>
          </w:tcPr>
          <w:p w14:paraId="35359008" w14:textId="65179692" w:rsidR="00F70E4C" w:rsidRPr="008647B2" w:rsidRDefault="003B26AE" w:rsidP="00F70E4C">
            <w:pPr>
              <w:jc w:val="center"/>
              <w:rPr>
                <w:b/>
                <w:color w:val="FFFFFF" w:themeColor="background1"/>
              </w:rPr>
            </w:pPr>
            <w:r w:rsidRPr="008647B2">
              <w:rPr>
                <w:b/>
                <w:color w:val="FFFFFF" w:themeColor="background1"/>
              </w:rPr>
              <w:t>Grade Points</w:t>
            </w:r>
          </w:p>
        </w:tc>
        <w:tc>
          <w:tcPr>
            <w:tcW w:w="4676" w:type="dxa"/>
            <w:gridSpan w:val="2"/>
            <w:shd w:val="clear" w:color="auto" w:fill="991B1E"/>
          </w:tcPr>
          <w:p w14:paraId="43BB077A" w14:textId="54F85D71" w:rsidR="00F70E4C" w:rsidRPr="008647B2" w:rsidRDefault="003B26AE" w:rsidP="00F70E4C">
            <w:pPr>
              <w:jc w:val="center"/>
              <w:rPr>
                <w:b/>
                <w:color w:val="FFFFFF" w:themeColor="background1"/>
              </w:rPr>
            </w:pPr>
            <w:r w:rsidRPr="008647B2">
              <w:rPr>
                <w:b/>
                <w:color w:val="FFFFFF" w:themeColor="background1"/>
              </w:rPr>
              <w:t xml:space="preserve">Letter </w:t>
            </w:r>
            <w:r w:rsidR="00F70E4C" w:rsidRPr="008647B2">
              <w:rPr>
                <w:b/>
                <w:color w:val="FFFFFF" w:themeColor="background1"/>
              </w:rPr>
              <w:t>Grade</w:t>
            </w:r>
            <w:r w:rsidRPr="008647B2">
              <w:rPr>
                <w:b/>
                <w:color w:val="FFFFFF" w:themeColor="background1"/>
              </w:rPr>
              <w:t>s</w:t>
            </w:r>
          </w:p>
        </w:tc>
      </w:tr>
      <w:tr w:rsidR="00C05231" w:rsidRPr="008647B2" w14:paraId="6AA02B4B" w14:textId="77777777" w:rsidTr="00F70E4C">
        <w:tc>
          <w:tcPr>
            <w:tcW w:w="2337" w:type="dxa"/>
          </w:tcPr>
          <w:p w14:paraId="10B980D4" w14:textId="4E326591" w:rsidR="00C05231" w:rsidRPr="008647B2" w:rsidRDefault="00C05231" w:rsidP="00C05231">
            <w:pPr>
              <w:jc w:val="center"/>
            </w:pPr>
            <w:r w:rsidRPr="008647B2">
              <w:t>3.85 – 4.00</w:t>
            </w:r>
          </w:p>
        </w:tc>
        <w:tc>
          <w:tcPr>
            <w:tcW w:w="2337" w:type="dxa"/>
          </w:tcPr>
          <w:p w14:paraId="378FEE9A" w14:textId="1622B9BD" w:rsidR="00C05231" w:rsidRPr="008647B2" w:rsidRDefault="00C05231" w:rsidP="00C05231">
            <w:r w:rsidRPr="008647B2">
              <w:t>A</w:t>
            </w:r>
          </w:p>
        </w:tc>
        <w:tc>
          <w:tcPr>
            <w:tcW w:w="2338" w:type="dxa"/>
          </w:tcPr>
          <w:p w14:paraId="27C15C85" w14:textId="426F24D2" w:rsidR="00C05231" w:rsidRPr="008647B2" w:rsidRDefault="00C05231" w:rsidP="00C05231">
            <w:pPr>
              <w:jc w:val="center"/>
            </w:pPr>
            <w:r w:rsidRPr="008647B2">
              <w:t>93 – 100</w:t>
            </w:r>
          </w:p>
        </w:tc>
        <w:tc>
          <w:tcPr>
            <w:tcW w:w="2338" w:type="dxa"/>
          </w:tcPr>
          <w:p w14:paraId="4007143C" w14:textId="78F88356" w:rsidR="00C05231" w:rsidRPr="008647B2" w:rsidRDefault="00C05231" w:rsidP="00C05231">
            <w:r w:rsidRPr="008647B2">
              <w:t>A</w:t>
            </w:r>
          </w:p>
        </w:tc>
      </w:tr>
      <w:tr w:rsidR="00C05231" w:rsidRPr="008647B2" w14:paraId="6F27DE5A" w14:textId="77777777" w:rsidTr="00F70E4C">
        <w:tc>
          <w:tcPr>
            <w:tcW w:w="2337" w:type="dxa"/>
          </w:tcPr>
          <w:p w14:paraId="1DA9D2DC" w14:textId="54A0DE6A" w:rsidR="00C05231" w:rsidRPr="008647B2" w:rsidRDefault="00C05231" w:rsidP="00C05231">
            <w:pPr>
              <w:jc w:val="center"/>
            </w:pPr>
            <w:r w:rsidRPr="008647B2">
              <w:t>3.60 – 3.84</w:t>
            </w:r>
          </w:p>
        </w:tc>
        <w:tc>
          <w:tcPr>
            <w:tcW w:w="2337" w:type="dxa"/>
          </w:tcPr>
          <w:p w14:paraId="170B0A01" w14:textId="0FD00D83" w:rsidR="00C05231" w:rsidRPr="008647B2" w:rsidRDefault="00C05231" w:rsidP="00C05231">
            <w:r w:rsidRPr="008647B2">
              <w:t>A-</w:t>
            </w:r>
          </w:p>
        </w:tc>
        <w:tc>
          <w:tcPr>
            <w:tcW w:w="2338" w:type="dxa"/>
          </w:tcPr>
          <w:p w14:paraId="1D8B982A" w14:textId="0DA7CE42" w:rsidR="00C05231" w:rsidRPr="008647B2" w:rsidRDefault="00C05231" w:rsidP="00C05231">
            <w:pPr>
              <w:jc w:val="center"/>
            </w:pPr>
            <w:r w:rsidRPr="008647B2">
              <w:t>90 – 92</w:t>
            </w:r>
          </w:p>
        </w:tc>
        <w:tc>
          <w:tcPr>
            <w:tcW w:w="2338" w:type="dxa"/>
          </w:tcPr>
          <w:p w14:paraId="0F5947E5" w14:textId="70D381C9" w:rsidR="00C05231" w:rsidRPr="008647B2" w:rsidRDefault="00C05231" w:rsidP="00C05231">
            <w:r w:rsidRPr="008647B2">
              <w:t>A-</w:t>
            </w:r>
          </w:p>
        </w:tc>
      </w:tr>
      <w:tr w:rsidR="00C05231" w:rsidRPr="008647B2" w14:paraId="07D6A463" w14:textId="77777777" w:rsidTr="00F70E4C">
        <w:tc>
          <w:tcPr>
            <w:tcW w:w="2337" w:type="dxa"/>
          </w:tcPr>
          <w:p w14:paraId="678A0B71" w14:textId="0C20906F" w:rsidR="00C05231" w:rsidRPr="008647B2" w:rsidRDefault="00C05231" w:rsidP="00C05231">
            <w:pPr>
              <w:jc w:val="center"/>
            </w:pPr>
            <w:r w:rsidRPr="008647B2">
              <w:t>3.25 – 3.59</w:t>
            </w:r>
          </w:p>
        </w:tc>
        <w:tc>
          <w:tcPr>
            <w:tcW w:w="2337" w:type="dxa"/>
          </w:tcPr>
          <w:p w14:paraId="35E5EBDB" w14:textId="53200E43" w:rsidR="00C05231" w:rsidRPr="008647B2" w:rsidRDefault="00C05231" w:rsidP="00C05231">
            <w:r w:rsidRPr="008647B2">
              <w:t>B+</w:t>
            </w:r>
          </w:p>
        </w:tc>
        <w:tc>
          <w:tcPr>
            <w:tcW w:w="2338" w:type="dxa"/>
          </w:tcPr>
          <w:p w14:paraId="5096096C" w14:textId="0A01ADEC" w:rsidR="00C05231" w:rsidRPr="008647B2" w:rsidRDefault="00C05231" w:rsidP="00C05231">
            <w:pPr>
              <w:jc w:val="center"/>
            </w:pPr>
            <w:r w:rsidRPr="008647B2">
              <w:t>87 – 89</w:t>
            </w:r>
          </w:p>
        </w:tc>
        <w:tc>
          <w:tcPr>
            <w:tcW w:w="2338" w:type="dxa"/>
          </w:tcPr>
          <w:p w14:paraId="26F45E69" w14:textId="7D26EC7C" w:rsidR="00C05231" w:rsidRPr="008647B2" w:rsidRDefault="00C05231" w:rsidP="00C05231">
            <w:r w:rsidRPr="008647B2">
              <w:t>B+</w:t>
            </w:r>
          </w:p>
        </w:tc>
      </w:tr>
      <w:tr w:rsidR="00C05231" w:rsidRPr="008647B2" w14:paraId="7CA8D0D9" w14:textId="77777777" w:rsidTr="00F70E4C">
        <w:tc>
          <w:tcPr>
            <w:tcW w:w="2337" w:type="dxa"/>
          </w:tcPr>
          <w:p w14:paraId="506D0CF5" w14:textId="3FE6A9E5" w:rsidR="00C05231" w:rsidRPr="008647B2" w:rsidRDefault="00C05231" w:rsidP="00C05231">
            <w:pPr>
              <w:jc w:val="center"/>
            </w:pPr>
            <w:r w:rsidRPr="008647B2">
              <w:t>2.90 – 3.24</w:t>
            </w:r>
          </w:p>
        </w:tc>
        <w:tc>
          <w:tcPr>
            <w:tcW w:w="2337" w:type="dxa"/>
          </w:tcPr>
          <w:p w14:paraId="0296E62E" w14:textId="3BA32704" w:rsidR="00C05231" w:rsidRPr="008647B2" w:rsidRDefault="00C05231" w:rsidP="00C05231">
            <w:r w:rsidRPr="008647B2">
              <w:t>B</w:t>
            </w:r>
          </w:p>
        </w:tc>
        <w:tc>
          <w:tcPr>
            <w:tcW w:w="2338" w:type="dxa"/>
          </w:tcPr>
          <w:p w14:paraId="720917A6" w14:textId="5B160E66" w:rsidR="00C05231" w:rsidRPr="008647B2" w:rsidRDefault="00C05231" w:rsidP="00C05231">
            <w:pPr>
              <w:jc w:val="center"/>
            </w:pPr>
            <w:r w:rsidRPr="008647B2">
              <w:t>83 – 86</w:t>
            </w:r>
          </w:p>
        </w:tc>
        <w:tc>
          <w:tcPr>
            <w:tcW w:w="2338" w:type="dxa"/>
          </w:tcPr>
          <w:p w14:paraId="61DD2A33" w14:textId="594B439C" w:rsidR="00C05231" w:rsidRPr="008647B2" w:rsidRDefault="00C05231" w:rsidP="00C05231">
            <w:r w:rsidRPr="008647B2">
              <w:t>B</w:t>
            </w:r>
          </w:p>
        </w:tc>
      </w:tr>
      <w:tr w:rsidR="00C05231" w:rsidRPr="008647B2" w14:paraId="7D827D9C" w14:textId="77777777" w:rsidTr="00F70E4C">
        <w:tc>
          <w:tcPr>
            <w:tcW w:w="2337" w:type="dxa"/>
          </w:tcPr>
          <w:p w14:paraId="73610B5E" w14:textId="54051C0B" w:rsidR="00C05231" w:rsidRPr="008647B2" w:rsidRDefault="00C05231" w:rsidP="00C05231">
            <w:pPr>
              <w:jc w:val="center"/>
            </w:pPr>
            <w:r w:rsidRPr="008647B2">
              <w:t>2.60 – 2.89</w:t>
            </w:r>
          </w:p>
        </w:tc>
        <w:tc>
          <w:tcPr>
            <w:tcW w:w="2337" w:type="dxa"/>
          </w:tcPr>
          <w:p w14:paraId="6CFDFCC6" w14:textId="4F83E2D0" w:rsidR="00C05231" w:rsidRPr="008647B2" w:rsidRDefault="00C05231" w:rsidP="00C05231">
            <w:r w:rsidRPr="008647B2">
              <w:t>B-</w:t>
            </w:r>
          </w:p>
        </w:tc>
        <w:tc>
          <w:tcPr>
            <w:tcW w:w="2338" w:type="dxa"/>
          </w:tcPr>
          <w:p w14:paraId="66D719DC" w14:textId="5E522C26" w:rsidR="00C05231" w:rsidRPr="008647B2" w:rsidRDefault="00C05231" w:rsidP="00C05231">
            <w:pPr>
              <w:jc w:val="center"/>
            </w:pPr>
            <w:r w:rsidRPr="008647B2">
              <w:t>80 – 82</w:t>
            </w:r>
          </w:p>
        </w:tc>
        <w:tc>
          <w:tcPr>
            <w:tcW w:w="2338" w:type="dxa"/>
          </w:tcPr>
          <w:p w14:paraId="6507F658" w14:textId="376DAD89" w:rsidR="00C05231" w:rsidRPr="008647B2" w:rsidRDefault="00C05231" w:rsidP="00C05231">
            <w:r w:rsidRPr="008647B2">
              <w:t>B-</w:t>
            </w:r>
          </w:p>
        </w:tc>
      </w:tr>
      <w:tr w:rsidR="00C05231" w:rsidRPr="008647B2" w14:paraId="408E8001" w14:textId="77777777" w:rsidTr="00F70E4C">
        <w:tc>
          <w:tcPr>
            <w:tcW w:w="2337" w:type="dxa"/>
          </w:tcPr>
          <w:p w14:paraId="1219BC3E" w14:textId="66146A21" w:rsidR="00C05231" w:rsidRPr="008647B2" w:rsidRDefault="00C05231" w:rsidP="00C05231">
            <w:pPr>
              <w:jc w:val="center"/>
            </w:pPr>
            <w:r w:rsidRPr="008647B2">
              <w:t>2.25 – 2.59</w:t>
            </w:r>
          </w:p>
        </w:tc>
        <w:tc>
          <w:tcPr>
            <w:tcW w:w="2337" w:type="dxa"/>
          </w:tcPr>
          <w:p w14:paraId="00573FAA" w14:textId="7598CBD1" w:rsidR="00C05231" w:rsidRPr="008647B2" w:rsidRDefault="00C05231" w:rsidP="00C05231">
            <w:r w:rsidRPr="008647B2">
              <w:t>C+</w:t>
            </w:r>
          </w:p>
        </w:tc>
        <w:tc>
          <w:tcPr>
            <w:tcW w:w="2338" w:type="dxa"/>
          </w:tcPr>
          <w:p w14:paraId="2E320585" w14:textId="444798F3" w:rsidR="00C05231" w:rsidRPr="008647B2" w:rsidRDefault="00C05231" w:rsidP="00C05231">
            <w:pPr>
              <w:jc w:val="center"/>
            </w:pPr>
            <w:r w:rsidRPr="008647B2">
              <w:t>77 – 79</w:t>
            </w:r>
          </w:p>
        </w:tc>
        <w:tc>
          <w:tcPr>
            <w:tcW w:w="2338" w:type="dxa"/>
          </w:tcPr>
          <w:p w14:paraId="500A91F7" w14:textId="05A72FE6" w:rsidR="00C05231" w:rsidRPr="008647B2" w:rsidRDefault="00C05231" w:rsidP="00C05231">
            <w:r w:rsidRPr="008647B2">
              <w:t>C+</w:t>
            </w:r>
          </w:p>
        </w:tc>
      </w:tr>
      <w:tr w:rsidR="00C05231" w:rsidRPr="008647B2" w14:paraId="2FFE9C5D" w14:textId="77777777" w:rsidTr="00F70E4C">
        <w:tc>
          <w:tcPr>
            <w:tcW w:w="2337" w:type="dxa"/>
          </w:tcPr>
          <w:p w14:paraId="35D186F2" w14:textId="0DE49B33" w:rsidR="00C05231" w:rsidRPr="008647B2" w:rsidRDefault="00C05231" w:rsidP="00C05231">
            <w:pPr>
              <w:jc w:val="center"/>
            </w:pPr>
            <w:r w:rsidRPr="008647B2">
              <w:t>1.90 – 2.24</w:t>
            </w:r>
          </w:p>
        </w:tc>
        <w:tc>
          <w:tcPr>
            <w:tcW w:w="2337" w:type="dxa"/>
          </w:tcPr>
          <w:p w14:paraId="4232D0EC" w14:textId="01D011CE" w:rsidR="00C05231" w:rsidRPr="008647B2" w:rsidRDefault="00C05231" w:rsidP="00C05231">
            <w:r w:rsidRPr="008647B2">
              <w:t>C</w:t>
            </w:r>
          </w:p>
        </w:tc>
        <w:tc>
          <w:tcPr>
            <w:tcW w:w="2338" w:type="dxa"/>
          </w:tcPr>
          <w:p w14:paraId="3285D3DD" w14:textId="72A439FC" w:rsidR="00C05231" w:rsidRPr="008647B2" w:rsidRDefault="00C05231" w:rsidP="00C05231">
            <w:pPr>
              <w:jc w:val="center"/>
            </w:pPr>
            <w:r w:rsidRPr="008647B2">
              <w:t>73 – 76</w:t>
            </w:r>
          </w:p>
        </w:tc>
        <w:tc>
          <w:tcPr>
            <w:tcW w:w="2338" w:type="dxa"/>
          </w:tcPr>
          <w:p w14:paraId="531D8EDD" w14:textId="79E536D6" w:rsidR="00C05231" w:rsidRPr="008647B2" w:rsidRDefault="00C05231" w:rsidP="00C05231">
            <w:r w:rsidRPr="008647B2">
              <w:t>C</w:t>
            </w:r>
          </w:p>
        </w:tc>
      </w:tr>
      <w:tr w:rsidR="00C05231" w:rsidRPr="008647B2" w14:paraId="26C1F9EC" w14:textId="77777777" w:rsidTr="00F70E4C">
        <w:tc>
          <w:tcPr>
            <w:tcW w:w="2337" w:type="dxa"/>
          </w:tcPr>
          <w:p w14:paraId="4217A686" w14:textId="77777777" w:rsidR="00C05231" w:rsidRPr="008647B2" w:rsidRDefault="00C05231" w:rsidP="00C05231">
            <w:pPr>
              <w:jc w:val="center"/>
            </w:pPr>
          </w:p>
        </w:tc>
        <w:tc>
          <w:tcPr>
            <w:tcW w:w="2337" w:type="dxa"/>
          </w:tcPr>
          <w:p w14:paraId="205C454A" w14:textId="77777777" w:rsidR="00C05231" w:rsidRPr="008647B2" w:rsidRDefault="00C05231" w:rsidP="00C05231"/>
        </w:tc>
        <w:tc>
          <w:tcPr>
            <w:tcW w:w="2338" w:type="dxa"/>
          </w:tcPr>
          <w:p w14:paraId="0EDADCDC" w14:textId="3D52DBCB" w:rsidR="00C05231" w:rsidRPr="008647B2" w:rsidRDefault="00C05231" w:rsidP="00C05231">
            <w:pPr>
              <w:jc w:val="center"/>
            </w:pPr>
            <w:r w:rsidRPr="008647B2">
              <w:t>70 – 72</w:t>
            </w:r>
          </w:p>
        </w:tc>
        <w:tc>
          <w:tcPr>
            <w:tcW w:w="2338" w:type="dxa"/>
          </w:tcPr>
          <w:p w14:paraId="7D57A781" w14:textId="48DE9690" w:rsidR="00C05231" w:rsidRPr="008647B2" w:rsidRDefault="00C05231" w:rsidP="00C05231">
            <w:r w:rsidRPr="008647B2">
              <w:t>C-</w:t>
            </w:r>
          </w:p>
        </w:tc>
      </w:tr>
    </w:tbl>
    <w:p w14:paraId="1FA4EFE7" w14:textId="59D02D2D" w:rsidR="003B26AE" w:rsidRPr="008647B2" w:rsidRDefault="0088469D">
      <w:r w:rsidRPr="008647B2">
        <w:lastRenderedPageBreak/>
        <w:t xml:space="preserve">See </w:t>
      </w:r>
      <w:r w:rsidRPr="008647B2">
        <w:rPr>
          <w:b/>
          <w:color w:val="991B1E"/>
        </w:rPr>
        <w:t>Appendix B</w:t>
      </w:r>
      <w:r w:rsidRPr="008647B2">
        <w:t xml:space="preserve"> for additional details regarding the definitions of grades and standards established by faculty of the School.</w:t>
      </w:r>
    </w:p>
    <w:p w14:paraId="72A71987" w14:textId="77777777" w:rsidR="003B26AE" w:rsidRPr="008647B2" w:rsidRDefault="003B26AE" w:rsidP="00F70E4C">
      <w:pPr>
        <w:rPr>
          <w:b/>
          <w:color w:val="991B1E"/>
        </w:rPr>
      </w:pPr>
    </w:p>
    <w:p w14:paraId="1BA33BE2" w14:textId="0CE61B04" w:rsidR="0088469D" w:rsidRPr="008647B2" w:rsidRDefault="0088469D" w:rsidP="00F70E4C">
      <w:r w:rsidRPr="008647B2">
        <w:rPr>
          <w:b/>
          <w:color w:val="991B1E"/>
        </w:rPr>
        <w:t>Attendance and Participation</w:t>
      </w:r>
    </w:p>
    <w:p w14:paraId="26F81512" w14:textId="58450D7E" w:rsidR="006F4B9D" w:rsidRPr="008647B2" w:rsidRDefault="006F4B9D" w:rsidP="006F4B9D">
      <w:r w:rsidRPr="008647B2">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8647B2">
        <w:t xml:space="preserve">  Having more than 2 unexcused absences in class may result in the lowering of the grade.  For VAC and remote/hybrid Ground courses, </w:t>
      </w:r>
      <w:r w:rsidR="00BE30E3" w:rsidRPr="008647B2">
        <w:t xml:space="preserve">substantive </w:t>
      </w:r>
      <w:r w:rsidR="003B26AE" w:rsidRPr="008647B2">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29D2B3E9" w14:textId="77777777" w:rsidR="006F4B9D" w:rsidRPr="008647B2" w:rsidRDefault="006F4B9D" w:rsidP="006F4B9D">
      <w:pPr>
        <w:rPr>
          <w:b/>
        </w:rPr>
      </w:pPr>
      <w:r w:rsidRPr="008647B2">
        <w:rPr>
          <w:b/>
        </w:rPr>
        <w:t xml:space="preserve">Class participation will be assessed according to the following criteria: </w:t>
      </w:r>
    </w:p>
    <w:p w14:paraId="0415E680" w14:textId="24AD9571" w:rsidR="006F4B9D" w:rsidRPr="008647B2" w:rsidRDefault="006F4B9D" w:rsidP="006F4B9D">
      <w:r w:rsidRPr="008647B2">
        <w:rPr>
          <w:u w:val="single"/>
        </w:rPr>
        <w:t xml:space="preserve">“A” </w:t>
      </w:r>
      <w:r w:rsidR="003B26AE" w:rsidRPr="008647B2">
        <w:rPr>
          <w:u w:val="single"/>
        </w:rPr>
        <w:t xml:space="preserve">grade </w:t>
      </w:r>
      <w:r w:rsidRPr="008647B2">
        <w:rPr>
          <w:u w:val="single"/>
        </w:rPr>
        <w:t>range: Very Good to Outstanding</w:t>
      </w:r>
      <w:r w:rsidR="003B26AE" w:rsidRPr="008647B2">
        <w:rPr>
          <w:u w:val="single"/>
        </w:rPr>
        <w:t xml:space="preserve"> Participation</w:t>
      </w:r>
      <w:r w:rsidRPr="008647B2">
        <w:rPr>
          <w:u w:val="single"/>
        </w:rPr>
        <w:t>:</w:t>
      </w:r>
      <w:r w:rsidRPr="008647B2">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8647B2" w:rsidRDefault="006F4B9D" w:rsidP="006F4B9D">
      <w:r w:rsidRPr="008647B2">
        <w:rPr>
          <w:u w:val="single"/>
        </w:rPr>
        <w:t xml:space="preserve">“B” </w:t>
      </w:r>
      <w:r w:rsidR="003B26AE" w:rsidRPr="008647B2">
        <w:rPr>
          <w:u w:val="single"/>
        </w:rPr>
        <w:t xml:space="preserve">grade </w:t>
      </w:r>
      <w:r w:rsidRPr="008647B2">
        <w:rPr>
          <w:u w:val="single"/>
        </w:rPr>
        <w:t>range: Good</w:t>
      </w:r>
      <w:r w:rsidR="003B26AE" w:rsidRPr="008647B2">
        <w:rPr>
          <w:u w:val="single"/>
        </w:rPr>
        <w:t xml:space="preserve"> Participation</w:t>
      </w:r>
      <w:r w:rsidRPr="008647B2">
        <w:rPr>
          <w:u w:val="single"/>
        </w:rPr>
        <w:t>:</w:t>
      </w:r>
      <w:r w:rsidRPr="008647B2">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Pr="008647B2" w:rsidRDefault="006F4B9D" w:rsidP="006F4B9D">
      <w:r w:rsidRPr="008647B2">
        <w:rPr>
          <w:u w:val="single"/>
        </w:rPr>
        <w:t>“C</w:t>
      </w:r>
      <w:r w:rsidR="00BE30E3" w:rsidRPr="008647B2">
        <w:rPr>
          <w:u w:val="single"/>
        </w:rPr>
        <w:t>+</w:t>
      </w:r>
      <w:r w:rsidRPr="008647B2">
        <w:rPr>
          <w:u w:val="single"/>
        </w:rPr>
        <w:t xml:space="preserve">” </w:t>
      </w:r>
      <w:r w:rsidR="00BE30E3" w:rsidRPr="008647B2">
        <w:rPr>
          <w:u w:val="single"/>
        </w:rPr>
        <w:t>or “C”</w:t>
      </w:r>
      <w:r w:rsidRPr="008647B2">
        <w:rPr>
          <w:u w:val="single"/>
        </w:rPr>
        <w:t>: Adequate</w:t>
      </w:r>
      <w:r w:rsidR="003B26AE" w:rsidRPr="008647B2">
        <w:rPr>
          <w:u w:val="single"/>
        </w:rPr>
        <w:t xml:space="preserve"> Participation</w:t>
      </w:r>
      <w:r w:rsidRPr="008647B2">
        <w:rPr>
          <w:u w:val="single"/>
        </w:rPr>
        <w:t>:</w:t>
      </w:r>
      <w:r w:rsidRPr="008647B2">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8647B2" w:rsidRDefault="006F4B9D" w:rsidP="006F4B9D">
      <w:r w:rsidRPr="008647B2">
        <w:rPr>
          <w:u w:val="single"/>
        </w:rPr>
        <w:t>“C-” or “D”: Inadequate</w:t>
      </w:r>
      <w:r w:rsidR="003B26AE" w:rsidRPr="008647B2">
        <w:rPr>
          <w:u w:val="single"/>
        </w:rPr>
        <w:t xml:space="preserve"> Participation</w:t>
      </w:r>
      <w:r w:rsidRPr="008647B2">
        <w:rPr>
          <w:u w:val="single"/>
        </w:rPr>
        <w:t>:</w:t>
      </w:r>
      <w:r w:rsidRPr="008647B2">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72656FA7" w14:textId="02BA722E" w:rsidR="0088469D" w:rsidRPr="008647B2" w:rsidRDefault="006F4B9D" w:rsidP="00F70E4C">
      <w:r w:rsidRPr="008647B2">
        <w:rPr>
          <w:u w:val="single"/>
        </w:rPr>
        <w:t>“F”: Nonparticipant/Unsatisfactory</w:t>
      </w:r>
      <w:r w:rsidR="003B26AE" w:rsidRPr="008647B2">
        <w:rPr>
          <w:u w:val="single"/>
        </w:rPr>
        <w:t xml:space="preserve"> Participation</w:t>
      </w:r>
      <w:r w:rsidRPr="008647B2">
        <w:rPr>
          <w:u w:val="single"/>
        </w:rPr>
        <w:t>:</w:t>
      </w:r>
      <w:r w:rsidRPr="008647B2">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proofErr w:type="gramStart"/>
      <w:r w:rsidRPr="008647B2">
        <w:t>deadlines, if</w:t>
      </w:r>
      <w:proofErr w:type="gramEnd"/>
      <w:r w:rsidRPr="008647B2">
        <w:t xml:space="preserve"> work is submitted at all.</w:t>
      </w:r>
    </w:p>
    <w:p w14:paraId="1F4656B2" w14:textId="1376B68F" w:rsidR="0088469D" w:rsidRPr="008647B2" w:rsidRDefault="0088469D" w:rsidP="00F70E4C">
      <w:r w:rsidRPr="008647B2">
        <w:rPr>
          <w:b/>
          <w:color w:val="991B1E"/>
        </w:rPr>
        <w:t>Required Instructional Materials and Resources</w:t>
      </w:r>
    </w:p>
    <w:p w14:paraId="0ED4500E" w14:textId="77777777" w:rsidR="0088469D" w:rsidRPr="008647B2" w:rsidRDefault="0088469D" w:rsidP="0088469D">
      <w:pPr>
        <w:rPr>
          <w:b/>
          <w:i/>
        </w:rPr>
      </w:pPr>
      <w:r w:rsidRPr="008647B2">
        <w:rPr>
          <w:b/>
          <w:i/>
        </w:rPr>
        <w:t xml:space="preserve">Required Textbooks </w:t>
      </w:r>
    </w:p>
    <w:p w14:paraId="4C464352" w14:textId="1DB2513E" w:rsidR="0088469D" w:rsidRPr="008647B2" w:rsidRDefault="00BA53FB" w:rsidP="0088469D">
      <w:pPr>
        <w:rPr>
          <w:sz w:val="20"/>
          <w:szCs w:val="20"/>
        </w:rPr>
      </w:pPr>
      <w:r w:rsidRPr="008647B2">
        <w:rPr>
          <w:sz w:val="20"/>
          <w:szCs w:val="20"/>
        </w:rPr>
        <w:t xml:space="preserve">Christensen, C., &amp; Raynor, M. (2013). </w:t>
      </w:r>
      <w:r w:rsidRPr="008647B2">
        <w:rPr>
          <w:i/>
          <w:sz w:val="20"/>
          <w:szCs w:val="20"/>
        </w:rPr>
        <w:t>The innovator’s solution: Creating and sustaining successful growth</w:t>
      </w:r>
      <w:r w:rsidRPr="008647B2">
        <w:rPr>
          <w:sz w:val="20"/>
          <w:szCs w:val="20"/>
        </w:rPr>
        <w:t>. Boston, MA: Harvard Business Review Press.</w:t>
      </w:r>
    </w:p>
    <w:p w14:paraId="7A5469C9" w14:textId="77777777" w:rsidR="00F81B37" w:rsidRPr="008647B2" w:rsidRDefault="00545F10" w:rsidP="0088469D">
      <w:r w:rsidRPr="008647B2">
        <w:rPr>
          <w:b/>
          <w:i/>
        </w:rPr>
        <w:t>Note</w:t>
      </w:r>
      <w:r w:rsidR="00F81B37" w:rsidRPr="008647B2">
        <w:rPr>
          <w:b/>
          <w:i/>
        </w:rPr>
        <w:t>s</w:t>
      </w:r>
      <w:r w:rsidRPr="008647B2">
        <w:rPr>
          <w:b/>
          <w:i/>
        </w:rPr>
        <w:t>:</w:t>
      </w:r>
      <w:r w:rsidRPr="008647B2">
        <w:t xml:space="preserve"> </w:t>
      </w:r>
    </w:p>
    <w:p w14:paraId="094E7FB8" w14:textId="2F84DDE1" w:rsidR="0088469D" w:rsidRPr="008647B2" w:rsidRDefault="00545F10" w:rsidP="00F81B37">
      <w:pPr>
        <w:pStyle w:val="ListParagraph"/>
        <w:numPr>
          <w:ilvl w:val="0"/>
          <w:numId w:val="5"/>
        </w:numPr>
        <w:rPr>
          <w:rFonts w:ascii="Times New Roman" w:hAnsi="Times New Roman" w:cs="Times New Roman"/>
        </w:rPr>
      </w:pPr>
      <w:r w:rsidRPr="008647B2">
        <w:rPr>
          <w:rFonts w:ascii="Times New Roman" w:hAnsi="Times New Roman" w:cs="Times New Roman"/>
        </w:rPr>
        <w:t>Additional required and recommended readings may be assigned by the instructor throughout the course.</w:t>
      </w:r>
    </w:p>
    <w:p w14:paraId="11E8FFE0" w14:textId="7102256E" w:rsidR="00F81B37" w:rsidRPr="008647B2" w:rsidRDefault="00F81B37" w:rsidP="00545F10">
      <w:pPr>
        <w:pStyle w:val="ListParagraph"/>
        <w:numPr>
          <w:ilvl w:val="0"/>
          <w:numId w:val="5"/>
        </w:numPr>
        <w:rPr>
          <w:rFonts w:ascii="Times New Roman" w:hAnsi="Times New Roman" w:cs="Times New Roman"/>
        </w:rPr>
      </w:pPr>
      <w:r w:rsidRPr="008647B2">
        <w:rPr>
          <w:rFonts w:ascii="Times New Roman" w:hAnsi="Times New Roman" w:cs="Times New Roman"/>
        </w:rPr>
        <w:t xml:space="preserve">See </w:t>
      </w:r>
      <w:r w:rsidRPr="008647B2">
        <w:rPr>
          <w:rFonts w:ascii="Times New Roman" w:hAnsi="Times New Roman" w:cs="Times New Roman"/>
          <w:b/>
          <w:color w:val="991B1E"/>
        </w:rPr>
        <w:t>Appendix C</w:t>
      </w:r>
      <w:r w:rsidRPr="008647B2">
        <w:rPr>
          <w:rFonts w:ascii="Times New Roman" w:hAnsi="Times New Roman" w:cs="Times New Roman"/>
        </w:rPr>
        <w:t xml:space="preserve"> for recommended instructional materials and resources</w:t>
      </w:r>
    </w:p>
    <w:p w14:paraId="4C7665C2" w14:textId="77777777" w:rsidR="006B76EE" w:rsidRDefault="006B76EE" w:rsidP="00545F10">
      <w:pPr>
        <w:rPr>
          <w:b/>
          <w:color w:val="991B1E"/>
        </w:rPr>
      </w:pPr>
    </w:p>
    <w:p w14:paraId="42B65DA8" w14:textId="33E2A3B6" w:rsidR="006B76EE" w:rsidRPr="004B49C4" w:rsidRDefault="006B76EE" w:rsidP="004B49C4">
      <w:pPr>
        <w:rPr>
          <w:b/>
          <w:color w:val="000000" w:themeColor="text1"/>
          <w:highlight w:val="yellow"/>
        </w:rPr>
      </w:pPr>
      <w:r w:rsidRPr="004B49C4">
        <w:rPr>
          <w:b/>
          <w:color w:val="000000" w:themeColor="text1"/>
          <w:highlight w:val="yellow"/>
        </w:rPr>
        <w:lastRenderedPageBreak/>
        <w:t xml:space="preserve">PRE-MEETING: RESIDENCY 2 </w:t>
      </w:r>
      <w:r w:rsidR="004B49C4" w:rsidRPr="004B49C4">
        <w:rPr>
          <w:b/>
          <w:color w:val="000000" w:themeColor="text1"/>
          <w:highlight w:val="yellow"/>
        </w:rPr>
        <w:t>CO-CREATION LABS</w:t>
      </w:r>
      <w:r w:rsidRPr="004B49C4">
        <w:rPr>
          <w:b/>
          <w:color w:val="000000" w:themeColor="text1"/>
          <w:highlight w:val="yellow"/>
        </w:rPr>
        <w:t xml:space="preserve">: </w:t>
      </w:r>
      <w:r w:rsidR="004B49C4" w:rsidRPr="004B49C4">
        <w:rPr>
          <w:b/>
          <w:color w:val="000000" w:themeColor="text1"/>
          <w:highlight w:val="yellow"/>
        </w:rPr>
        <w:t>Friday, January 14</w:t>
      </w:r>
      <w:r w:rsidRPr="004B49C4">
        <w:rPr>
          <w:b/>
          <w:color w:val="000000" w:themeColor="text1"/>
          <w:highlight w:val="yellow"/>
        </w:rPr>
        <w:t>, 5-6:30PM PST</w:t>
      </w:r>
    </w:p>
    <w:p w14:paraId="5698DDA6" w14:textId="5A217FA7" w:rsidR="004B49C4" w:rsidRPr="004B49C4" w:rsidRDefault="004B49C4" w:rsidP="004B49C4">
      <w:pPr>
        <w:rPr>
          <w:b/>
          <w:color w:val="000000" w:themeColor="text1"/>
          <w:highlight w:val="yellow"/>
        </w:rPr>
      </w:pPr>
      <w:r>
        <w:rPr>
          <w:b/>
          <w:color w:val="000000" w:themeColor="text1"/>
          <w:highlight w:val="yellow"/>
        </w:rPr>
        <w:t xml:space="preserve">POST-RESIDENCY 2 WORKSHOP: </w:t>
      </w:r>
      <w:r w:rsidRPr="004B49C4">
        <w:rPr>
          <w:b/>
          <w:color w:val="000000" w:themeColor="text1"/>
          <w:highlight w:val="yellow"/>
        </w:rPr>
        <w:t>Friday, March 11, 5-6:30PM PST</w:t>
      </w:r>
    </w:p>
    <w:p w14:paraId="58347283" w14:textId="77777777" w:rsidR="004B49C4" w:rsidRPr="004B49C4" w:rsidRDefault="004B49C4" w:rsidP="00545F10">
      <w:pPr>
        <w:rPr>
          <w:b/>
          <w:color w:val="000000" w:themeColor="text1"/>
        </w:rPr>
      </w:pPr>
    </w:p>
    <w:p w14:paraId="18FF8FB8" w14:textId="7136869A" w:rsidR="004B52C7" w:rsidRDefault="008647B2" w:rsidP="00545F10">
      <w:pPr>
        <w:rPr>
          <w:b/>
          <w:color w:val="991B1E"/>
        </w:rPr>
      </w:pPr>
      <w:r>
        <w:rPr>
          <w:b/>
          <w:color w:val="991B1E"/>
        </w:rPr>
        <w:t>RESIDENCY 2 [DRAFT] SCHEDULE</w:t>
      </w:r>
      <w:r w:rsidR="008A1320">
        <w:rPr>
          <w:b/>
          <w:color w:val="991B1E"/>
        </w:rPr>
        <w:t xml:space="preserve"> WILL BE PROVIDED BY WEEK 2 OF THE COURSE. </w:t>
      </w:r>
    </w:p>
    <w:p w14:paraId="6069B1B3" w14:textId="3D857FDB" w:rsidR="004D5BBC" w:rsidRPr="004D5BBC" w:rsidRDefault="008647B2" w:rsidP="004D5BBC">
      <w:r>
        <w:rPr>
          <w:b/>
          <w:i/>
          <w:iCs/>
          <w:color w:val="991B1E"/>
        </w:rPr>
        <w:t xml:space="preserve">Note: Schedule details subject to change based on availability and ongoing </w:t>
      </w:r>
      <w:r w:rsidR="00A154F7">
        <w:rPr>
          <w:b/>
          <w:i/>
          <w:iCs/>
          <w:color w:val="991B1E"/>
        </w:rPr>
        <w:t xml:space="preserve">policy recommendations by the USC Public Safety Leadership Team (PSLT) and the Centers for Disease Control (CDC). Resident participants must adhere to policies of agencies, </w:t>
      </w:r>
      <w:proofErr w:type="gramStart"/>
      <w:r w:rsidR="00A154F7">
        <w:rPr>
          <w:b/>
          <w:i/>
          <w:iCs/>
          <w:color w:val="991B1E"/>
        </w:rPr>
        <w:t>organizations</w:t>
      </w:r>
      <w:proofErr w:type="gramEnd"/>
      <w:r w:rsidR="00A154F7">
        <w:rPr>
          <w:b/>
          <w:i/>
          <w:iCs/>
          <w:color w:val="991B1E"/>
        </w:rPr>
        <w:t xml:space="preserve"> or sites we will be in collaboration with as well as USC policies. Currently, all students are required to show vaccine compliance prior to Residency 2. For the duration of the residency, masks will be required. </w:t>
      </w:r>
      <w:r w:rsidR="004D5BBC">
        <w:rPr>
          <w:b/>
          <w:i/>
          <w:iCs/>
          <w:color w:val="991B1E"/>
        </w:rPr>
        <w:t xml:space="preserve">At the beginning of each class day, students will have to show their Daily Pass from </w:t>
      </w:r>
      <w:hyperlink r:id="rId12" w:history="1">
        <w:r w:rsidR="004D5BBC" w:rsidRPr="004D5BBC">
          <w:rPr>
            <w:b/>
            <w:bCs/>
            <w:i/>
            <w:iCs/>
            <w:color w:val="C00000"/>
            <w:u w:val="single"/>
          </w:rPr>
          <w:t>Trojan Check</w:t>
        </w:r>
      </w:hyperlink>
      <w:r w:rsidR="004D5BBC" w:rsidRPr="004D5BBC">
        <w:rPr>
          <w:color w:val="C00000"/>
          <w:sz w:val="22"/>
          <w:szCs w:val="22"/>
        </w:rPr>
        <w:t> </w:t>
      </w:r>
    </w:p>
    <w:p w14:paraId="67292F79" w14:textId="51D3004F" w:rsidR="00A154F7" w:rsidRDefault="00A154F7" w:rsidP="00545F10">
      <w:pPr>
        <w:rPr>
          <w:b/>
          <w:i/>
          <w:iCs/>
          <w:color w:val="991B1E"/>
        </w:rPr>
      </w:pPr>
    </w:p>
    <w:p w14:paraId="5E897DA8" w14:textId="77777777" w:rsidR="004D5BBC" w:rsidRDefault="00A154F7" w:rsidP="00545F10">
      <w:pPr>
        <w:rPr>
          <w:b/>
          <w:i/>
          <w:iCs/>
          <w:color w:val="991B1E"/>
        </w:rPr>
      </w:pPr>
      <w:r>
        <w:rPr>
          <w:b/>
          <w:i/>
          <w:iCs/>
          <w:color w:val="991B1E"/>
        </w:rPr>
        <w:t xml:space="preserve">An in-depth Residency 2 packet will be provided by Week </w:t>
      </w:r>
      <w:r w:rsidR="006B76EE">
        <w:rPr>
          <w:b/>
          <w:i/>
          <w:iCs/>
          <w:color w:val="991B1E"/>
        </w:rPr>
        <w:t>2</w:t>
      </w:r>
      <w:r>
        <w:rPr>
          <w:b/>
          <w:i/>
          <w:iCs/>
          <w:color w:val="991B1E"/>
        </w:rPr>
        <w:t xml:space="preserve"> of the course.</w:t>
      </w:r>
    </w:p>
    <w:p w14:paraId="00F5ADCA" w14:textId="4586C6E8" w:rsidR="00A154F7" w:rsidRDefault="00A154F7" w:rsidP="00545F10">
      <w:pPr>
        <w:rPr>
          <w:b/>
          <w:i/>
          <w:iCs/>
          <w:color w:val="991B1E"/>
        </w:rPr>
      </w:pPr>
      <w:r>
        <w:rPr>
          <w:b/>
          <w:i/>
          <w:iCs/>
          <w:color w:val="991B1E"/>
        </w:rPr>
        <w:t xml:space="preserve"> </w:t>
      </w:r>
    </w:p>
    <w:p w14:paraId="4331BBE4" w14:textId="285F01AF" w:rsidR="008A1320" w:rsidRDefault="008A1320" w:rsidP="008A1320">
      <w:pPr>
        <w:rPr>
          <w:b/>
          <w:color w:val="000000" w:themeColor="text1"/>
        </w:rPr>
      </w:pPr>
      <w:r>
        <w:rPr>
          <w:b/>
          <w:color w:val="000000" w:themeColor="text1"/>
        </w:rPr>
        <w:t>JANUARY 31, 2022</w:t>
      </w:r>
    </w:p>
    <w:p w14:paraId="5FD05A88" w14:textId="77777777" w:rsidR="008A1320" w:rsidRPr="008A1320" w:rsidRDefault="008A1320" w:rsidP="008A1320">
      <w:pPr>
        <w:rPr>
          <w:b/>
          <w:color w:val="000000" w:themeColor="text1"/>
        </w:rPr>
      </w:pPr>
    </w:p>
    <w:p w14:paraId="12C1CDE2" w14:textId="263627EB" w:rsidR="00A154F7" w:rsidRDefault="008A1320" w:rsidP="00545F10">
      <w:pPr>
        <w:rPr>
          <w:b/>
          <w:color w:val="000000" w:themeColor="text1"/>
        </w:rPr>
      </w:pPr>
      <w:r>
        <w:rPr>
          <w:b/>
          <w:color w:val="000000" w:themeColor="text1"/>
        </w:rPr>
        <w:t>FEBRUARY 1, 2022</w:t>
      </w:r>
    </w:p>
    <w:p w14:paraId="0252B97B" w14:textId="77777777" w:rsidR="006B76EE" w:rsidRDefault="006B76EE" w:rsidP="00545F10">
      <w:pPr>
        <w:rPr>
          <w:b/>
          <w:color w:val="000000" w:themeColor="text1"/>
        </w:rPr>
      </w:pPr>
    </w:p>
    <w:p w14:paraId="10D13022" w14:textId="6328B4D9" w:rsidR="00A154F7" w:rsidRPr="00A154F7" w:rsidRDefault="008A1320" w:rsidP="00545F10">
      <w:pPr>
        <w:rPr>
          <w:color w:val="000000" w:themeColor="text1"/>
        </w:rPr>
      </w:pPr>
      <w:r>
        <w:rPr>
          <w:b/>
          <w:color w:val="000000" w:themeColor="text1"/>
        </w:rPr>
        <w:t>FEBRUARY 2, 2022</w:t>
      </w:r>
    </w:p>
    <w:p w14:paraId="1C404A07" w14:textId="77777777" w:rsidR="008A1320" w:rsidRDefault="008A1320" w:rsidP="004424B2">
      <w:pPr>
        <w:rPr>
          <w:b/>
          <w:color w:val="991B1E"/>
        </w:rPr>
      </w:pPr>
    </w:p>
    <w:p w14:paraId="425B7630" w14:textId="572E09F1" w:rsidR="004B52C7" w:rsidRPr="008647B2" w:rsidRDefault="004B52C7" w:rsidP="004424B2">
      <w:pPr>
        <w:rPr>
          <w:color w:val="991B1E"/>
        </w:rPr>
      </w:pPr>
      <w:r w:rsidRPr="008647B2">
        <w:rPr>
          <w:b/>
          <w:color w:val="991B1E"/>
        </w:rPr>
        <w:t>List of Appendices</w:t>
      </w:r>
    </w:p>
    <w:p w14:paraId="4BEFDA8B" w14:textId="5E9E398E" w:rsidR="004B52C7" w:rsidRPr="008647B2" w:rsidRDefault="00CC1094" w:rsidP="004B52C7">
      <w:pPr>
        <w:pStyle w:val="ListParagraph"/>
        <w:numPr>
          <w:ilvl w:val="0"/>
          <w:numId w:val="7"/>
        </w:numPr>
        <w:rPr>
          <w:rFonts w:ascii="Times New Roman" w:hAnsi="Times New Roman" w:cs="Times New Roman"/>
        </w:rPr>
      </w:pPr>
      <w:r w:rsidRPr="008647B2">
        <w:rPr>
          <w:rFonts w:ascii="Times New Roman" w:hAnsi="Times New Roman" w:cs="Times New Roman"/>
        </w:rPr>
        <w:t xml:space="preserve">Detailed Descriptions of </w:t>
      </w:r>
      <w:r w:rsidR="004B52C7" w:rsidRPr="008647B2">
        <w:rPr>
          <w:rFonts w:ascii="Times New Roman" w:hAnsi="Times New Roman" w:cs="Times New Roman"/>
        </w:rPr>
        <w:t>Social Work Core Competencies Highlighted in this Course</w:t>
      </w:r>
    </w:p>
    <w:p w14:paraId="42E37CAD" w14:textId="7213563D" w:rsidR="004B52C7" w:rsidRPr="008647B2" w:rsidRDefault="004B52C7" w:rsidP="004B52C7">
      <w:pPr>
        <w:pStyle w:val="ListParagraph"/>
        <w:numPr>
          <w:ilvl w:val="0"/>
          <w:numId w:val="7"/>
        </w:numPr>
        <w:rPr>
          <w:rFonts w:ascii="Times New Roman" w:hAnsi="Times New Roman" w:cs="Times New Roman"/>
        </w:rPr>
      </w:pPr>
      <w:r w:rsidRPr="008647B2">
        <w:rPr>
          <w:rFonts w:ascii="Times New Roman" w:hAnsi="Times New Roman" w:cs="Times New Roman"/>
        </w:rPr>
        <w:t>Definitions of Grades and Standards Established by Faculty of the School</w:t>
      </w:r>
    </w:p>
    <w:p w14:paraId="6AE04570" w14:textId="15AF8D77" w:rsidR="004B52C7" w:rsidRPr="008647B2" w:rsidRDefault="007C630E" w:rsidP="004B52C7">
      <w:pPr>
        <w:pStyle w:val="ListParagraph"/>
        <w:numPr>
          <w:ilvl w:val="0"/>
          <w:numId w:val="7"/>
        </w:numPr>
        <w:rPr>
          <w:rFonts w:ascii="Times New Roman" w:hAnsi="Times New Roman" w:cs="Times New Roman"/>
        </w:rPr>
      </w:pPr>
      <w:r w:rsidRPr="008647B2">
        <w:rPr>
          <w:rFonts w:ascii="Times New Roman" w:hAnsi="Times New Roman" w:cs="Times New Roman"/>
        </w:rPr>
        <w:t>Recommended Instructional Materials and Resources</w:t>
      </w:r>
    </w:p>
    <w:p w14:paraId="27A05444" w14:textId="7C4039EA" w:rsidR="006F4B9D" w:rsidRPr="008647B2" w:rsidRDefault="006F4B9D" w:rsidP="004B52C7">
      <w:pPr>
        <w:pStyle w:val="ListParagraph"/>
        <w:numPr>
          <w:ilvl w:val="0"/>
          <w:numId w:val="7"/>
        </w:numPr>
        <w:rPr>
          <w:rFonts w:ascii="Times New Roman" w:hAnsi="Times New Roman" w:cs="Times New Roman"/>
        </w:rPr>
      </w:pPr>
      <w:r w:rsidRPr="008647B2">
        <w:rPr>
          <w:rFonts w:ascii="Times New Roman" w:hAnsi="Times New Roman" w:cs="Times New Roman"/>
        </w:rPr>
        <w:t xml:space="preserve">Suzanne </w:t>
      </w:r>
      <w:proofErr w:type="spellStart"/>
      <w:r w:rsidRPr="008647B2">
        <w:rPr>
          <w:rFonts w:ascii="Times New Roman" w:hAnsi="Times New Roman" w:cs="Times New Roman"/>
        </w:rPr>
        <w:t>Dworak</w:t>
      </w:r>
      <w:proofErr w:type="spellEnd"/>
      <w:r w:rsidRPr="008647B2">
        <w:rPr>
          <w:rFonts w:ascii="Times New Roman" w:hAnsi="Times New Roman" w:cs="Times New Roman"/>
        </w:rPr>
        <w:t>-Peck School of Social Work DEI Statement</w:t>
      </w:r>
    </w:p>
    <w:p w14:paraId="59152A27" w14:textId="77777777" w:rsidR="004446DB" w:rsidRPr="008647B2" w:rsidRDefault="004446DB" w:rsidP="004B52C7">
      <w:pPr>
        <w:pStyle w:val="ListParagraph"/>
        <w:numPr>
          <w:ilvl w:val="0"/>
          <w:numId w:val="7"/>
        </w:numPr>
        <w:rPr>
          <w:rFonts w:ascii="Times New Roman" w:hAnsi="Times New Roman" w:cs="Times New Roman"/>
        </w:rPr>
      </w:pPr>
      <w:r w:rsidRPr="008647B2">
        <w:rPr>
          <w:rFonts w:ascii="Times New Roman" w:hAnsi="Times New Roman" w:cs="Times New Roman"/>
        </w:rPr>
        <w:t>University Policies and Guidelines</w:t>
      </w:r>
    </w:p>
    <w:p w14:paraId="0AD2CC33" w14:textId="67E04E4F" w:rsidR="007C630E" w:rsidRPr="008647B2" w:rsidRDefault="00B130CA" w:rsidP="004B52C7">
      <w:pPr>
        <w:pStyle w:val="ListParagraph"/>
        <w:numPr>
          <w:ilvl w:val="0"/>
          <w:numId w:val="7"/>
        </w:numPr>
        <w:rPr>
          <w:rFonts w:ascii="Times New Roman" w:hAnsi="Times New Roman" w:cs="Times New Roman"/>
        </w:rPr>
      </w:pPr>
      <w:r w:rsidRPr="008647B2">
        <w:rPr>
          <w:rFonts w:ascii="Times New Roman" w:hAnsi="Times New Roman" w:cs="Times New Roman"/>
        </w:rPr>
        <w:t>Support Systems</w:t>
      </w:r>
      <w:r w:rsidR="004446DB" w:rsidRPr="008647B2">
        <w:rPr>
          <w:rFonts w:ascii="Times New Roman" w:hAnsi="Times New Roman" w:cs="Times New Roman"/>
        </w:rPr>
        <w:t xml:space="preserve"> and Additional Resources</w:t>
      </w:r>
    </w:p>
    <w:p w14:paraId="130BFABF" w14:textId="5B305BA7" w:rsidR="004424B2" w:rsidRPr="008647B2" w:rsidRDefault="007C630E" w:rsidP="00680556">
      <w:pPr>
        <w:rPr>
          <w:b/>
          <w:color w:val="991B1E"/>
        </w:rPr>
      </w:pPr>
      <w:r w:rsidRPr="008647B2">
        <w:rPr>
          <w:b/>
          <w:color w:val="991B1E"/>
        </w:rPr>
        <w:br w:type="page"/>
      </w:r>
    </w:p>
    <w:p w14:paraId="34FCF52F" w14:textId="77777777" w:rsidR="00680556" w:rsidRPr="008647B2" w:rsidRDefault="00680556" w:rsidP="00680556">
      <w:r w:rsidRPr="008647B2">
        <w:rPr>
          <w:b/>
          <w:color w:val="991B1E"/>
        </w:rPr>
        <w:lastRenderedPageBreak/>
        <w:t>Appendix A: Detailed Description of Social Work Core Competencies Highlighted in this Course</w:t>
      </w:r>
    </w:p>
    <w:p w14:paraId="6756E9F5" w14:textId="77777777" w:rsidR="00680556" w:rsidRPr="008647B2" w:rsidRDefault="00680556" w:rsidP="00680556">
      <w:pPr>
        <w:pStyle w:val="xmsonormal"/>
        <w:spacing w:before="0" w:beforeAutospacing="0" w:after="0" w:afterAutospacing="0"/>
        <w:ind w:right="940"/>
        <w:rPr>
          <w:color w:val="000000"/>
          <w:sz w:val="22"/>
          <w:szCs w:val="22"/>
        </w:rPr>
      </w:pPr>
      <w:r w:rsidRPr="008647B2">
        <w:rPr>
          <w:b/>
          <w:bCs/>
          <w:i/>
          <w:iCs/>
          <w:color w:val="990000"/>
          <w:sz w:val="22"/>
          <w:szCs w:val="22"/>
        </w:rPr>
        <w:t>Goals</w:t>
      </w:r>
    </w:p>
    <w:p w14:paraId="0C5A4CB3" w14:textId="77777777" w:rsidR="00680556" w:rsidRPr="008647B2" w:rsidRDefault="00680556" w:rsidP="00680556">
      <w:pPr>
        <w:pStyle w:val="xmsonormal"/>
        <w:spacing w:before="0" w:beforeAutospacing="0" w:after="0" w:afterAutospacing="0"/>
        <w:ind w:right="940"/>
        <w:textAlignment w:val="baseline"/>
        <w:rPr>
          <w:color w:val="000000"/>
          <w:sz w:val="22"/>
          <w:szCs w:val="22"/>
        </w:rPr>
      </w:pPr>
      <w:r w:rsidRPr="008647B2">
        <w:rPr>
          <w:color w:val="000000"/>
          <w:sz w:val="22"/>
          <w:szCs w:val="22"/>
        </w:rPr>
        <w:t> </w:t>
      </w:r>
    </w:p>
    <w:p w14:paraId="7F3D29B1" w14:textId="0403776C"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1.   The foundation for the DSW curriculum and student academic products rests on three pillars: (1) problem definition within the Grand Challenges for Social Work; (2) innovative design; and (3) executive leadership in human service organizations and community contexts. </w:t>
      </w:r>
    </w:p>
    <w:p w14:paraId="6875741E" w14:textId="3E860C9D"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2.  </w:t>
      </w:r>
      <w:r w:rsidRPr="008647B2">
        <w:rPr>
          <w:rStyle w:val="apple-converted-space"/>
          <w:color w:val="000000"/>
          <w:sz w:val="22"/>
          <w:szCs w:val="22"/>
        </w:rPr>
        <w:t> </w:t>
      </w:r>
      <w:r w:rsidRPr="008647B2">
        <w:rPr>
          <w:color w:val="000000"/>
          <w:sz w:val="22"/>
          <w:szCs w:val="22"/>
        </w:rPr>
        <w:t>Student academic work will culminate in a substantive advance in practice or policy related to one of the Grand Challenges for Social Work. </w:t>
      </w:r>
    </w:p>
    <w:p w14:paraId="7CF496CF" w14:textId="379EC5B7"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3.    Aligned with the goals for a science of social work, curricula will be multi- and interdisciplinary and reflect diverse public and private sector perspectives on social innovation and organizational problem-solving in complex systems. </w:t>
      </w:r>
    </w:p>
    <w:p w14:paraId="4E4A8353" w14:textId="6113DFC9"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4.    Courses will emphasize bold action leading to scaling of programs, disruption, or other changes that promote social justice and human potential. </w:t>
      </w:r>
    </w:p>
    <w:p w14:paraId="1B9CF85F" w14:textId="527D07D9"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5.    Graduates will emerge as effective leaders in social work or allied fields, prepared to excel in executive management roles. </w:t>
      </w:r>
    </w:p>
    <w:p w14:paraId="6FF11998" w14:textId="21A2E3E7"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6.    Graduates will emerge as capable public intellectuals who exemplify the core values, ethical principles, and standards of the NASW Code of Ethics. </w:t>
      </w:r>
    </w:p>
    <w:p w14:paraId="0F6FC832" w14:textId="77777777" w:rsidR="00680556" w:rsidRPr="008647B2" w:rsidRDefault="00680556" w:rsidP="00680556">
      <w:pPr>
        <w:pStyle w:val="xmsonormal"/>
        <w:spacing w:before="0" w:beforeAutospacing="0" w:after="0" w:afterAutospacing="0"/>
        <w:ind w:right="940"/>
        <w:rPr>
          <w:color w:val="000000"/>
          <w:sz w:val="22"/>
          <w:szCs w:val="22"/>
        </w:rPr>
      </w:pPr>
      <w:r w:rsidRPr="008647B2">
        <w:rPr>
          <w:b/>
          <w:bCs/>
          <w:i/>
          <w:iCs/>
          <w:color w:val="990000"/>
          <w:sz w:val="22"/>
          <w:szCs w:val="22"/>
        </w:rPr>
        <w:t> </w:t>
      </w:r>
    </w:p>
    <w:p w14:paraId="4E5FCFE6" w14:textId="77777777" w:rsidR="00680556" w:rsidRPr="008647B2" w:rsidRDefault="00680556" w:rsidP="00680556">
      <w:pPr>
        <w:pStyle w:val="xmsonormal"/>
        <w:spacing w:before="0" w:beforeAutospacing="0" w:after="0" w:afterAutospacing="0"/>
        <w:ind w:right="940"/>
        <w:rPr>
          <w:color w:val="000000"/>
          <w:sz w:val="22"/>
          <w:szCs w:val="22"/>
        </w:rPr>
      </w:pPr>
      <w:r w:rsidRPr="008647B2">
        <w:rPr>
          <w:b/>
          <w:bCs/>
          <w:i/>
          <w:iCs/>
          <w:color w:val="990000"/>
          <w:sz w:val="22"/>
          <w:szCs w:val="22"/>
        </w:rPr>
        <w:t>Program Competencies/Student Learning Outcome Objectives</w:t>
      </w:r>
    </w:p>
    <w:p w14:paraId="4CB78B10" w14:textId="77777777" w:rsidR="00680556" w:rsidRPr="008647B2" w:rsidRDefault="00680556" w:rsidP="00680556">
      <w:pPr>
        <w:pStyle w:val="xmsonormal"/>
        <w:spacing w:before="0" w:beforeAutospacing="0" w:after="0" w:afterAutospacing="0"/>
        <w:ind w:right="940"/>
        <w:textAlignment w:val="baseline"/>
        <w:rPr>
          <w:color w:val="000000"/>
          <w:sz w:val="22"/>
          <w:szCs w:val="22"/>
        </w:rPr>
      </w:pPr>
      <w:r w:rsidRPr="008647B2">
        <w:rPr>
          <w:color w:val="000000"/>
          <w:sz w:val="22"/>
          <w:szCs w:val="22"/>
        </w:rPr>
        <w:t> </w:t>
      </w:r>
    </w:p>
    <w:p w14:paraId="385EBCDB" w14:textId="77777777"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1.    </w:t>
      </w:r>
      <w:r w:rsidRPr="008647B2">
        <w:rPr>
          <w:rStyle w:val="apple-converted-space"/>
          <w:color w:val="000000"/>
          <w:sz w:val="22"/>
          <w:szCs w:val="22"/>
        </w:rPr>
        <w:t> </w:t>
      </w:r>
      <w:r w:rsidRPr="008647B2">
        <w:rPr>
          <w:color w:val="000000"/>
          <w:sz w:val="22"/>
          <w:szCs w:val="22"/>
        </w:rPr>
        <w:t>Confront, evaluate, and use large ideas grounded in the Grand Challenges for Social Work</w:t>
      </w:r>
      <w:r w:rsidRPr="008647B2">
        <w:rPr>
          <w:b/>
          <w:bCs/>
          <w:color w:val="FF0000"/>
          <w:sz w:val="22"/>
          <w:szCs w:val="22"/>
        </w:rPr>
        <w:t> </w:t>
      </w:r>
      <w:r w:rsidRPr="008647B2">
        <w:rPr>
          <w:color w:val="000000"/>
          <w:sz w:val="22"/>
          <w:szCs w:val="22"/>
        </w:rPr>
        <w:t>as defined by the American Academy of Social Work and Social Welfare (AASWSW). </w:t>
      </w:r>
    </w:p>
    <w:p w14:paraId="257FE172" w14:textId="77777777"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2.    </w:t>
      </w:r>
      <w:r w:rsidRPr="008647B2">
        <w:rPr>
          <w:rStyle w:val="apple-converted-space"/>
          <w:color w:val="000000"/>
          <w:sz w:val="22"/>
          <w:szCs w:val="22"/>
        </w:rPr>
        <w:t> </w:t>
      </w:r>
      <w:r w:rsidRPr="008647B2">
        <w:rPr>
          <w:color w:val="000000"/>
          <w:sz w:val="22"/>
          <w:szCs w:val="22"/>
        </w:rPr>
        <w:t>Leverage evidence from secondary sources in addition to primary data collection strategies to assess the existing social and practice landscape as a basis for designing new responses to complex social problems. </w:t>
      </w:r>
    </w:p>
    <w:p w14:paraId="35F89B9F" w14:textId="77777777"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3.    </w:t>
      </w:r>
      <w:r w:rsidRPr="008647B2">
        <w:rPr>
          <w:rStyle w:val="apple-converted-space"/>
          <w:color w:val="000000"/>
          <w:sz w:val="22"/>
          <w:szCs w:val="22"/>
        </w:rPr>
        <w:t> </w:t>
      </w:r>
      <w:r w:rsidRPr="008647B2">
        <w:rPr>
          <w:color w:val="000000"/>
          <w:sz w:val="22"/>
          <w:szCs w:val="22"/>
        </w:rPr>
        <w:t>Apply relevant social work and social science theories of problem causation to develop ideas for change, program or policy implementation, and evaluation. </w:t>
      </w:r>
    </w:p>
    <w:p w14:paraId="1D76E7FF" w14:textId="77777777"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4.    </w:t>
      </w:r>
      <w:r w:rsidRPr="008647B2">
        <w:rPr>
          <w:rStyle w:val="apple-converted-space"/>
          <w:color w:val="000000"/>
          <w:sz w:val="22"/>
          <w:szCs w:val="22"/>
        </w:rPr>
        <w:t> </w:t>
      </w:r>
      <w:r w:rsidRPr="008647B2">
        <w:rPr>
          <w:color w:val="000000"/>
          <w:sz w:val="22"/>
          <w:szCs w:val="22"/>
        </w:rPr>
        <w:t>Master creative, expansive, and rigorous design principles that advance innovation and invention in social solutions. </w:t>
      </w:r>
    </w:p>
    <w:p w14:paraId="75AEF52E" w14:textId="77777777"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5.    </w:t>
      </w:r>
      <w:r w:rsidRPr="008647B2">
        <w:rPr>
          <w:rStyle w:val="apple-converted-space"/>
          <w:color w:val="000000"/>
          <w:sz w:val="22"/>
          <w:szCs w:val="22"/>
        </w:rPr>
        <w:t> </w:t>
      </w:r>
      <w:r w:rsidRPr="008647B2">
        <w:rPr>
          <w:color w:val="000000"/>
          <w:sz w:val="22"/>
          <w:szCs w:val="22"/>
        </w:rPr>
        <w:t>Effectively lead others in future efforts to brainstorm, refine, and implement forward-thinking solutions to complex social problems across organizational boundaries. </w:t>
      </w:r>
    </w:p>
    <w:p w14:paraId="5400D3DB" w14:textId="77777777"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6.    </w:t>
      </w:r>
      <w:r w:rsidRPr="008647B2">
        <w:rPr>
          <w:rStyle w:val="apple-converted-space"/>
          <w:color w:val="000000"/>
          <w:sz w:val="22"/>
          <w:szCs w:val="22"/>
        </w:rPr>
        <w:t> </w:t>
      </w:r>
      <w:r w:rsidRPr="008647B2">
        <w:rPr>
          <w:color w:val="000000"/>
          <w:sz w:val="22"/>
          <w:szCs w:val="22"/>
        </w:rPr>
        <w:t>Accurately map the organizational and policy environment affecting options for social change. </w:t>
      </w:r>
    </w:p>
    <w:p w14:paraId="3ECC52FF" w14:textId="77777777"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7.    </w:t>
      </w:r>
      <w:r w:rsidRPr="008647B2">
        <w:rPr>
          <w:rStyle w:val="apple-converted-space"/>
          <w:color w:val="000000"/>
          <w:sz w:val="22"/>
          <w:szCs w:val="22"/>
        </w:rPr>
        <w:t> </w:t>
      </w:r>
      <w:r w:rsidRPr="008647B2">
        <w:rPr>
          <w:color w:val="000000"/>
          <w:sz w:val="22"/>
          <w:szCs w:val="22"/>
        </w:rPr>
        <w:t>Use logic models to carefully plan for and maximize impact with proposed interventions. </w:t>
      </w:r>
    </w:p>
    <w:p w14:paraId="3F98E3B1" w14:textId="77777777"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8.    </w:t>
      </w:r>
      <w:r w:rsidRPr="008647B2">
        <w:rPr>
          <w:rStyle w:val="apple-converted-space"/>
          <w:color w:val="000000"/>
          <w:sz w:val="22"/>
          <w:szCs w:val="22"/>
        </w:rPr>
        <w:t> </w:t>
      </w:r>
      <w:r w:rsidRPr="008647B2">
        <w:rPr>
          <w:color w:val="000000"/>
          <w:sz w:val="22"/>
          <w:szCs w:val="22"/>
        </w:rPr>
        <w:t>Organize financial and program data for decision-making, communication, and evaluation to improve program and policy outcomes in human service organizations. </w:t>
      </w:r>
    </w:p>
    <w:p w14:paraId="6763DC15" w14:textId="77777777"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9.    </w:t>
      </w:r>
      <w:r w:rsidRPr="008647B2">
        <w:rPr>
          <w:rStyle w:val="apple-converted-space"/>
          <w:color w:val="000000"/>
          <w:sz w:val="22"/>
          <w:szCs w:val="22"/>
        </w:rPr>
        <w:t> </w:t>
      </w:r>
      <w:r w:rsidRPr="008647B2">
        <w:rPr>
          <w:color w:val="000000"/>
          <w:sz w:val="22"/>
          <w:szCs w:val="22"/>
        </w:rPr>
        <w:t>Confidently employ a variety of media and methods to influence and communicate with professional, political, academic, and general public audiences. </w:t>
      </w:r>
    </w:p>
    <w:p w14:paraId="7CFF0936" w14:textId="77777777" w:rsidR="00680556" w:rsidRPr="008647B2" w:rsidRDefault="00680556" w:rsidP="00680556">
      <w:pPr>
        <w:pStyle w:val="xmsolistparagraph"/>
        <w:spacing w:before="40" w:beforeAutospacing="0" w:after="0" w:afterAutospacing="0"/>
        <w:ind w:left="720" w:right="940" w:hanging="360"/>
        <w:textAlignment w:val="baseline"/>
        <w:rPr>
          <w:color w:val="000000"/>
          <w:sz w:val="22"/>
          <w:szCs w:val="22"/>
        </w:rPr>
      </w:pPr>
      <w:r w:rsidRPr="008647B2">
        <w:rPr>
          <w:color w:val="000000"/>
          <w:sz w:val="22"/>
          <w:szCs w:val="22"/>
        </w:rPr>
        <w:t>10. </w:t>
      </w:r>
      <w:r w:rsidRPr="008647B2">
        <w:rPr>
          <w:rStyle w:val="apple-converted-space"/>
          <w:color w:val="000000"/>
          <w:sz w:val="22"/>
          <w:szCs w:val="22"/>
        </w:rPr>
        <w:t> </w:t>
      </w:r>
      <w:r w:rsidRPr="008647B2">
        <w:rPr>
          <w:color w:val="000000"/>
          <w:sz w:val="22"/>
          <w:szCs w:val="22"/>
        </w:rPr>
        <w:t>Create positive social impact in complex systems and at scale. </w:t>
      </w:r>
    </w:p>
    <w:p w14:paraId="5F1158EC" w14:textId="77777777" w:rsidR="00680556" w:rsidRPr="008647B2" w:rsidRDefault="00680556" w:rsidP="00680556"/>
    <w:p w14:paraId="17F81414" w14:textId="77777777" w:rsidR="007C630E" w:rsidRPr="008647B2" w:rsidRDefault="007C630E">
      <w:pPr>
        <w:rPr>
          <w:b/>
          <w:color w:val="991B1E"/>
        </w:rPr>
      </w:pPr>
      <w:r w:rsidRPr="008647B2">
        <w:rPr>
          <w:b/>
          <w:color w:val="991B1E"/>
        </w:rPr>
        <w:br w:type="page"/>
      </w:r>
    </w:p>
    <w:p w14:paraId="534B2679" w14:textId="6B117666" w:rsidR="004424B2" w:rsidRPr="008647B2" w:rsidRDefault="0088469D" w:rsidP="004424B2">
      <w:r w:rsidRPr="008647B2">
        <w:rPr>
          <w:b/>
          <w:color w:val="991B1E"/>
        </w:rPr>
        <w:lastRenderedPageBreak/>
        <w:t>Appendix B: Definitions of Grades and Standards Established by Faculty of the School</w:t>
      </w:r>
    </w:p>
    <w:p w14:paraId="40AE81DD" w14:textId="77777777" w:rsidR="0088469D" w:rsidRPr="008647B2" w:rsidRDefault="0088469D" w:rsidP="004424B2">
      <w:r w:rsidRPr="008647B2">
        <w:t xml:space="preserve">Within the USC Suzanne </w:t>
      </w:r>
      <w:proofErr w:type="spellStart"/>
      <w:r w:rsidRPr="008647B2">
        <w:t>Dworak</w:t>
      </w:r>
      <w:proofErr w:type="spellEnd"/>
      <w:r w:rsidRPr="008647B2">
        <w:t xml:space="preserve">-Peck School of Social Work, grades are determined in each class based on the following standards which have been established by the faculty of the School: </w:t>
      </w:r>
    </w:p>
    <w:p w14:paraId="3DB14A9B" w14:textId="77777777" w:rsidR="0088469D" w:rsidRPr="008647B2" w:rsidRDefault="0088469D" w:rsidP="0088469D">
      <w:pPr>
        <w:pStyle w:val="ListParagraph"/>
        <w:numPr>
          <w:ilvl w:val="0"/>
          <w:numId w:val="4"/>
        </w:numPr>
        <w:rPr>
          <w:rFonts w:ascii="Times New Roman" w:hAnsi="Times New Roman" w:cs="Times New Roman"/>
        </w:rPr>
      </w:pPr>
      <w:r w:rsidRPr="008647B2">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8647B2" w:rsidRDefault="0088469D" w:rsidP="0088469D">
      <w:pPr>
        <w:pStyle w:val="ListParagraph"/>
        <w:numPr>
          <w:ilvl w:val="0"/>
          <w:numId w:val="4"/>
        </w:numPr>
        <w:rPr>
          <w:rFonts w:ascii="Times New Roman" w:hAnsi="Times New Roman" w:cs="Times New Roman"/>
        </w:rPr>
      </w:pPr>
      <w:r w:rsidRPr="008647B2">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8647B2" w:rsidRDefault="0088469D" w:rsidP="0088469D">
      <w:pPr>
        <w:pStyle w:val="ListParagraph"/>
        <w:numPr>
          <w:ilvl w:val="0"/>
          <w:numId w:val="4"/>
        </w:numPr>
        <w:rPr>
          <w:rFonts w:ascii="Times New Roman" w:hAnsi="Times New Roman" w:cs="Times New Roman"/>
        </w:rPr>
      </w:pPr>
      <w:r w:rsidRPr="008647B2">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8647B2" w:rsidRDefault="0088469D" w:rsidP="0088469D">
      <w:pPr>
        <w:pStyle w:val="ListParagraph"/>
        <w:numPr>
          <w:ilvl w:val="0"/>
          <w:numId w:val="4"/>
        </w:numPr>
        <w:rPr>
          <w:rFonts w:ascii="Times New Roman" w:hAnsi="Times New Roman" w:cs="Times New Roman"/>
        </w:rPr>
      </w:pPr>
      <w:r w:rsidRPr="008647B2">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Pr="008647B2" w:rsidRDefault="0088469D" w:rsidP="0088469D">
      <w:pPr>
        <w:pStyle w:val="ListParagraph"/>
        <w:numPr>
          <w:ilvl w:val="0"/>
          <w:numId w:val="4"/>
        </w:numPr>
        <w:rPr>
          <w:rFonts w:ascii="Times New Roman" w:hAnsi="Times New Roman" w:cs="Times New Roman"/>
        </w:rPr>
      </w:pPr>
      <w:r w:rsidRPr="008647B2">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Pr="008647B2" w:rsidRDefault="0088469D" w:rsidP="0088469D">
      <w:pPr>
        <w:pStyle w:val="ListParagraph"/>
        <w:numPr>
          <w:ilvl w:val="0"/>
          <w:numId w:val="4"/>
        </w:numPr>
        <w:rPr>
          <w:rFonts w:ascii="Times New Roman" w:hAnsi="Times New Roman" w:cs="Times New Roman"/>
        </w:rPr>
      </w:pPr>
      <w:r w:rsidRPr="008647B2">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Pr="008647B2" w:rsidRDefault="00F81B37" w:rsidP="00F81B37"/>
    <w:p w14:paraId="2A7E158F" w14:textId="77777777" w:rsidR="007C630E" w:rsidRPr="008647B2" w:rsidRDefault="007C630E">
      <w:pPr>
        <w:rPr>
          <w:b/>
          <w:color w:val="991B1E"/>
        </w:rPr>
      </w:pPr>
      <w:r w:rsidRPr="008647B2">
        <w:rPr>
          <w:b/>
          <w:color w:val="991B1E"/>
        </w:rPr>
        <w:br w:type="page"/>
      </w:r>
    </w:p>
    <w:p w14:paraId="4D468C22" w14:textId="232701D5" w:rsidR="00F81B37" w:rsidRPr="008647B2" w:rsidRDefault="00F81B37" w:rsidP="00F81B37">
      <w:pPr>
        <w:rPr>
          <w:color w:val="991B1E"/>
        </w:rPr>
      </w:pPr>
      <w:r w:rsidRPr="008647B2">
        <w:rPr>
          <w:b/>
          <w:color w:val="991B1E"/>
        </w:rPr>
        <w:lastRenderedPageBreak/>
        <w:t>Appendix C: Recommended Instructional Materials and Resources</w:t>
      </w:r>
    </w:p>
    <w:p w14:paraId="267AE51F" w14:textId="77777777" w:rsidR="00F81B37" w:rsidRPr="008647B2" w:rsidRDefault="00F81B37" w:rsidP="00F81B37">
      <w:pPr>
        <w:rPr>
          <w:b/>
          <w:i/>
        </w:rPr>
      </w:pPr>
      <w:r w:rsidRPr="008647B2">
        <w:rPr>
          <w:b/>
          <w:i/>
        </w:rPr>
        <w:t>Recommended Guidebook for APA Style Formatting</w:t>
      </w:r>
    </w:p>
    <w:p w14:paraId="45724F52" w14:textId="77777777" w:rsidR="00BA53FB" w:rsidRPr="008647B2" w:rsidRDefault="00BA53FB" w:rsidP="00BA53FB">
      <w:pPr>
        <w:rPr>
          <w:bCs/>
          <w:sz w:val="20"/>
          <w:szCs w:val="20"/>
        </w:rPr>
      </w:pPr>
      <w:r w:rsidRPr="008647B2">
        <w:rPr>
          <w:bCs/>
          <w:sz w:val="20"/>
          <w:szCs w:val="20"/>
        </w:rPr>
        <w:t xml:space="preserve">APA formatting and style guide. (2009). The OWL at Purdue. Retrieved from </w:t>
      </w:r>
    </w:p>
    <w:p w14:paraId="0C773A0D" w14:textId="3A9D7536" w:rsidR="00BA53FB" w:rsidRPr="008647B2" w:rsidRDefault="001A5026" w:rsidP="00BA53FB">
      <w:pPr>
        <w:rPr>
          <w:bCs/>
          <w:sz w:val="20"/>
          <w:szCs w:val="20"/>
        </w:rPr>
      </w:pPr>
      <w:hyperlink r:id="rId13" w:history="1">
        <w:r w:rsidR="00BA53FB" w:rsidRPr="008647B2">
          <w:rPr>
            <w:rStyle w:val="Hyperlink"/>
            <w:bCs/>
            <w:szCs w:val="20"/>
          </w:rPr>
          <w:t>http://owl.english.purdue.edu/owl/resource/560/01/</w:t>
        </w:r>
      </w:hyperlink>
      <w:r w:rsidR="00BA53FB" w:rsidRPr="008647B2">
        <w:rPr>
          <w:bCs/>
          <w:sz w:val="20"/>
          <w:szCs w:val="20"/>
        </w:rPr>
        <w:t xml:space="preserve"> </w:t>
      </w:r>
    </w:p>
    <w:p w14:paraId="2F48C76B" w14:textId="4F58F645" w:rsidR="00BA53FB" w:rsidRPr="008647B2" w:rsidRDefault="00BA53FB" w:rsidP="00BA53FB">
      <w:pPr>
        <w:rPr>
          <w:sz w:val="20"/>
          <w:szCs w:val="20"/>
        </w:rPr>
      </w:pPr>
      <w:r w:rsidRPr="008647B2">
        <w:rPr>
          <w:sz w:val="20"/>
          <w:szCs w:val="20"/>
        </w:rPr>
        <w:t xml:space="preserve">American Psychological Association. (2009). </w:t>
      </w:r>
      <w:r w:rsidRPr="008647B2">
        <w:rPr>
          <w:i/>
          <w:iCs/>
          <w:sz w:val="20"/>
          <w:szCs w:val="20"/>
        </w:rPr>
        <w:t xml:space="preserve">Publication manual of the American Psychological Association </w:t>
      </w:r>
      <w:r w:rsidRPr="008647B2">
        <w:rPr>
          <w:sz w:val="20"/>
          <w:szCs w:val="20"/>
        </w:rPr>
        <w:t>(6th ed.). Washington, DC: Author.</w:t>
      </w:r>
    </w:p>
    <w:p w14:paraId="11E2950F" w14:textId="45A660EC" w:rsidR="00BA53FB" w:rsidRPr="008647B2" w:rsidRDefault="00BA53FB" w:rsidP="00BA53FB">
      <w:pPr>
        <w:rPr>
          <w:b/>
          <w:color w:val="C00000"/>
          <w:sz w:val="20"/>
          <w:szCs w:val="20"/>
        </w:rPr>
      </w:pPr>
      <w:r w:rsidRPr="008647B2">
        <w:rPr>
          <w:b/>
          <w:color w:val="C00000"/>
          <w:sz w:val="20"/>
          <w:szCs w:val="20"/>
        </w:rPr>
        <w:t>USC Guide to Avoiding Plagiarism</w:t>
      </w:r>
    </w:p>
    <w:p w14:paraId="43A9171B" w14:textId="1AE12271" w:rsidR="00BA53FB" w:rsidRPr="008647B2" w:rsidRDefault="00BA53FB" w:rsidP="00BA53FB">
      <w:pPr>
        <w:rPr>
          <w:color w:val="000000"/>
          <w:sz w:val="20"/>
          <w:szCs w:val="20"/>
        </w:rPr>
      </w:pPr>
      <w:r w:rsidRPr="008647B2">
        <w:rPr>
          <w:color w:val="000000"/>
          <w:sz w:val="20"/>
          <w:szCs w:val="20"/>
        </w:rPr>
        <w:t xml:space="preserve">See </w:t>
      </w:r>
      <w:hyperlink r:id="rId14" w:history="1">
        <w:r w:rsidRPr="008647B2">
          <w:rPr>
            <w:rStyle w:val="Hyperlink"/>
            <w:szCs w:val="20"/>
          </w:rPr>
          <w:t>www.usc.edu/student affairs/student-conduct/ug_plag.htm</w:t>
        </w:r>
      </w:hyperlink>
    </w:p>
    <w:p w14:paraId="66673A3C" w14:textId="69557EE4" w:rsidR="00BA53FB" w:rsidRPr="008647B2" w:rsidRDefault="00BA53FB" w:rsidP="00BA53FB">
      <w:pPr>
        <w:rPr>
          <w:b/>
          <w:bCs/>
          <w:color w:val="C00000"/>
          <w:sz w:val="20"/>
          <w:szCs w:val="20"/>
        </w:rPr>
      </w:pPr>
    </w:p>
    <w:p w14:paraId="523430E3" w14:textId="77777777" w:rsidR="00F81B37" w:rsidRPr="008647B2" w:rsidRDefault="00F81B37" w:rsidP="00F81B37">
      <w:pPr>
        <w:rPr>
          <w:b/>
          <w:i/>
        </w:rPr>
      </w:pPr>
      <w:r w:rsidRPr="008647B2">
        <w:rPr>
          <w:b/>
          <w:i/>
        </w:rPr>
        <w:t xml:space="preserve">Recommended Websites </w:t>
      </w:r>
    </w:p>
    <w:p w14:paraId="15639436" w14:textId="77777777" w:rsidR="00BA53FB" w:rsidRPr="008647B2" w:rsidRDefault="00BA53FB" w:rsidP="00BA53FB">
      <w:pPr>
        <w:rPr>
          <w:bCs/>
          <w:sz w:val="20"/>
          <w:szCs w:val="20"/>
        </w:rPr>
      </w:pPr>
      <w:r w:rsidRPr="008647B2">
        <w:rPr>
          <w:bCs/>
          <w:sz w:val="20"/>
          <w:szCs w:val="20"/>
        </w:rPr>
        <w:t xml:space="preserve">The American Accounting Association: </w:t>
      </w:r>
      <w:hyperlink r:id="rId15" w:history="1">
        <w:r w:rsidRPr="008647B2">
          <w:rPr>
            <w:rStyle w:val="Hyperlink"/>
            <w:bCs/>
            <w:szCs w:val="20"/>
          </w:rPr>
          <w:t>www.aaahg.org</w:t>
        </w:r>
      </w:hyperlink>
    </w:p>
    <w:p w14:paraId="2839965D" w14:textId="77777777" w:rsidR="00BA53FB" w:rsidRPr="008647B2" w:rsidRDefault="00BA53FB" w:rsidP="00BA53FB">
      <w:pPr>
        <w:rPr>
          <w:bCs/>
          <w:sz w:val="20"/>
          <w:szCs w:val="20"/>
        </w:rPr>
      </w:pPr>
      <w:r w:rsidRPr="008647B2">
        <w:rPr>
          <w:bCs/>
          <w:sz w:val="20"/>
          <w:szCs w:val="20"/>
        </w:rPr>
        <w:t xml:space="preserve">American Public Human Services Association: </w:t>
      </w:r>
      <w:hyperlink r:id="rId16" w:history="1">
        <w:r w:rsidRPr="008647B2">
          <w:rPr>
            <w:rStyle w:val="Hyperlink"/>
            <w:bCs/>
            <w:szCs w:val="20"/>
          </w:rPr>
          <w:t>www.asphsa.org</w:t>
        </w:r>
      </w:hyperlink>
    </w:p>
    <w:p w14:paraId="444A30D9" w14:textId="77777777" w:rsidR="00BA53FB" w:rsidRPr="008647B2" w:rsidRDefault="00BA53FB" w:rsidP="00BA53FB">
      <w:pPr>
        <w:rPr>
          <w:bCs/>
          <w:sz w:val="20"/>
          <w:szCs w:val="20"/>
        </w:rPr>
      </w:pPr>
      <w:r w:rsidRPr="008647B2">
        <w:rPr>
          <w:bCs/>
          <w:sz w:val="20"/>
          <w:szCs w:val="20"/>
        </w:rPr>
        <w:t xml:space="preserve">The Peter F. Drucker Foundation for Non-Profit Management: </w:t>
      </w:r>
      <w:hyperlink r:id="rId17" w:history="1">
        <w:r w:rsidRPr="008647B2">
          <w:rPr>
            <w:rStyle w:val="Hyperlink"/>
            <w:bCs/>
            <w:szCs w:val="20"/>
          </w:rPr>
          <w:t>www.fpdf.org</w:t>
        </w:r>
      </w:hyperlink>
    </w:p>
    <w:p w14:paraId="6D40BE1C" w14:textId="77777777" w:rsidR="00BA53FB" w:rsidRPr="008647B2" w:rsidRDefault="00BA53FB" w:rsidP="00BA53FB">
      <w:pPr>
        <w:rPr>
          <w:bCs/>
          <w:sz w:val="20"/>
          <w:szCs w:val="20"/>
        </w:rPr>
      </w:pPr>
      <w:proofErr w:type="spellStart"/>
      <w:r w:rsidRPr="008647B2">
        <w:rPr>
          <w:bCs/>
          <w:sz w:val="20"/>
          <w:szCs w:val="20"/>
        </w:rPr>
        <w:t>FinanceNet</w:t>
      </w:r>
      <w:proofErr w:type="spellEnd"/>
      <w:r w:rsidRPr="008647B2">
        <w:rPr>
          <w:bCs/>
          <w:sz w:val="20"/>
          <w:szCs w:val="20"/>
        </w:rPr>
        <w:t xml:space="preserve">: </w:t>
      </w:r>
      <w:hyperlink r:id="rId18" w:history="1">
        <w:r w:rsidRPr="008647B2">
          <w:rPr>
            <w:rStyle w:val="Hyperlink"/>
            <w:bCs/>
            <w:szCs w:val="20"/>
          </w:rPr>
          <w:t>www.financenet.gov</w:t>
        </w:r>
      </w:hyperlink>
    </w:p>
    <w:p w14:paraId="67CA2ABC" w14:textId="77777777" w:rsidR="00BA53FB" w:rsidRPr="008647B2" w:rsidRDefault="00BA53FB" w:rsidP="00BA53FB">
      <w:pPr>
        <w:rPr>
          <w:bCs/>
          <w:sz w:val="20"/>
          <w:szCs w:val="20"/>
        </w:rPr>
      </w:pPr>
      <w:r w:rsidRPr="008647B2">
        <w:rPr>
          <w:bCs/>
          <w:sz w:val="20"/>
          <w:szCs w:val="20"/>
        </w:rPr>
        <w:t xml:space="preserve">The Foundation Center: </w:t>
      </w:r>
      <w:hyperlink r:id="rId19" w:history="1">
        <w:r w:rsidRPr="008647B2">
          <w:rPr>
            <w:rStyle w:val="Hyperlink"/>
            <w:bCs/>
            <w:szCs w:val="20"/>
          </w:rPr>
          <w:t>www.fdncenter.org</w:t>
        </w:r>
      </w:hyperlink>
    </w:p>
    <w:p w14:paraId="51D66429" w14:textId="77777777" w:rsidR="00BA53FB" w:rsidRPr="008647B2" w:rsidRDefault="00BA53FB" w:rsidP="00BA53FB">
      <w:pPr>
        <w:rPr>
          <w:bCs/>
          <w:sz w:val="20"/>
          <w:szCs w:val="20"/>
        </w:rPr>
      </w:pPr>
      <w:r w:rsidRPr="008647B2">
        <w:rPr>
          <w:bCs/>
          <w:sz w:val="20"/>
          <w:szCs w:val="20"/>
        </w:rPr>
        <w:t xml:space="preserve">Free Management Library: </w:t>
      </w:r>
      <w:hyperlink r:id="rId20" w:history="1">
        <w:r w:rsidRPr="008647B2">
          <w:rPr>
            <w:rStyle w:val="Hyperlink"/>
            <w:bCs/>
            <w:szCs w:val="20"/>
          </w:rPr>
          <w:t>www.fdncenter.org</w:t>
        </w:r>
      </w:hyperlink>
    </w:p>
    <w:p w14:paraId="28CD4805" w14:textId="77777777" w:rsidR="00BA53FB" w:rsidRPr="008647B2" w:rsidRDefault="00BA53FB" w:rsidP="00BA53FB">
      <w:pPr>
        <w:rPr>
          <w:bCs/>
          <w:sz w:val="20"/>
          <w:szCs w:val="20"/>
        </w:rPr>
      </w:pPr>
      <w:r w:rsidRPr="008647B2">
        <w:rPr>
          <w:bCs/>
          <w:sz w:val="20"/>
          <w:szCs w:val="20"/>
        </w:rPr>
        <w:t xml:space="preserve">Stanford Social Innovation Review: </w:t>
      </w:r>
      <w:hyperlink r:id="rId21" w:history="1">
        <w:r w:rsidRPr="008647B2">
          <w:rPr>
            <w:rStyle w:val="Hyperlink"/>
            <w:bCs/>
            <w:szCs w:val="20"/>
          </w:rPr>
          <w:t>www.ssireview.org</w:t>
        </w:r>
      </w:hyperlink>
    </w:p>
    <w:p w14:paraId="6650BA76" w14:textId="77777777" w:rsidR="00BA53FB" w:rsidRPr="008647B2" w:rsidRDefault="00BA53FB" w:rsidP="00BA53FB">
      <w:pPr>
        <w:rPr>
          <w:bCs/>
          <w:sz w:val="20"/>
          <w:szCs w:val="20"/>
        </w:rPr>
      </w:pPr>
      <w:r w:rsidRPr="008647B2">
        <w:rPr>
          <w:bCs/>
          <w:sz w:val="20"/>
          <w:szCs w:val="20"/>
        </w:rPr>
        <w:t xml:space="preserve">National Association of Nonprofit Accountants: </w:t>
      </w:r>
      <w:hyperlink r:id="rId22" w:history="1">
        <w:r w:rsidRPr="008647B2">
          <w:rPr>
            <w:rStyle w:val="Hyperlink"/>
            <w:bCs/>
            <w:szCs w:val="20"/>
          </w:rPr>
          <w:t>www.nonprofitcpas.com</w:t>
        </w:r>
      </w:hyperlink>
    </w:p>
    <w:p w14:paraId="420E281E" w14:textId="77777777" w:rsidR="00BA53FB" w:rsidRPr="008647B2" w:rsidRDefault="00BA53FB" w:rsidP="00BA53FB">
      <w:pPr>
        <w:rPr>
          <w:bCs/>
          <w:sz w:val="20"/>
          <w:szCs w:val="20"/>
        </w:rPr>
      </w:pPr>
      <w:r w:rsidRPr="008647B2">
        <w:rPr>
          <w:bCs/>
          <w:sz w:val="20"/>
          <w:szCs w:val="20"/>
        </w:rPr>
        <w:t xml:space="preserve">National Council of Nonprofits: </w:t>
      </w:r>
      <w:hyperlink r:id="rId23" w:history="1">
        <w:r w:rsidRPr="008647B2">
          <w:rPr>
            <w:rStyle w:val="Hyperlink"/>
            <w:bCs/>
            <w:szCs w:val="20"/>
          </w:rPr>
          <w:t>www.councilofnonprofits</w:t>
        </w:r>
      </w:hyperlink>
    </w:p>
    <w:p w14:paraId="3425EC47" w14:textId="77777777" w:rsidR="00BA53FB" w:rsidRPr="008647B2" w:rsidRDefault="00BA53FB" w:rsidP="00BA53FB">
      <w:pPr>
        <w:rPr>
          <w:bCs/>
          <w:sz w:val="20"/>
          <w:szCs w:val="20"/>
        </w:rPr>
      </w:pPr>
      <w:r w:rsidRPr="008647B2">
        <w:rPr>
          <w:bCs/>
          <w:sz w:val="20"/>
          <w:szCs w:val="20"/>
        </w:rPr>
        <w:t xml:space="preserve">The Wallace Foundation Knowledge Center: </w:t>
      </w:r>
      <w:hyperlink r:id="rId24" w:history="1">
        <w:r w:rsidRPr="008647B2">
          <w:rPr>
            <w:rStyle w:val="Hyperlink"/>
            <w:bCs/>
            <w:szCs w:val="20"/>
          </w:rPr>
          <w:t>www.wallacefoundation.org</w:t>
        </w:r>
      </w:hyperlink>
    </w:p>
    <w:p w14:paraId="2DE6306B" w14:textId="77777777" w:rsidR="00BA53FB" w:rsidRPr="008647B2" w:rsidRDefault="00BA53FB" w:rsidP="00BA53FB">
      <w:pPr>
        <w:rPr>
          <w:bCs/>
          <w:sz w:val="20"/>
          <w:szCs w:val="20"/>
        </w:rPr>
      </w:pPr>
      <w:r w:rsidRPr="008647B2">
        <w:rPr>
          <w:bCs/>
          <w:sz w:val="20"/>
          <w:szCs w:val="20"/>
        </w:rPr>
        <w:t xml:space="preserve">The Nonprofit Quarterly: </w:t>
      </w:r>
      <w:hyperlink r:id="rId25" w:history="1">
        <w:r w:rsidRPr="008647B2">
          <w:rPr>
            <w:rStyle w:val="Hyperlink"/>
            <w:bCs/>
            <w:szCs w:val="20"/>
          </w:rPr>
          <w:t>www.npgmag.org</w:t>
        </w:r>
      </w:hyperlink>
    </w:p>
    <w:p w14:paraId="72DC3D6D" w14:textId="77777777" w:rsidR="00BA53FB" w:rsidRPr="008647B2" w:rsidRDefault="00BA53FB" w:rsidP="00BA53FB">
      <w:pPr>
        <w:rPr>
          <w:bCs/>
          <w:sz w:val="20"/>
          <w:szCs w:val="20"/>
        </w:rPr>
      </w:pPr>
      <w:r w:rsidRPr="008647B2">
        <w:rPr>
          <w:bCs/>
          <w:sz w:val="20"/>
          <w:szCs w:val="20"/>
        </w:rPr>
        <w:t xml:space="preserve">Public Risk Management Association: </w:t>
      </w:r>
      <w:hyperlink r:id="rId26" w:history="1">
        <w:r w:rsidRPr="008647B2">
          <w:rPr>
            <w:rStyle w:val="Hyperlink"/>
            <w:bCs/>
            <w:szCs w:val="20"/>
          </w:rPr>
          <w:t>www.primacentral.org</w:t>
        </w:r>
      </w:hyperlink>
    </w:p>
    <w:p w14:paraId="1A84FA8B" w14:textId="7A8C68E1" w:rsidR="006F4B9D" w:rsidRPr="008647B2" w:rsidRDefault="006F4B9D" w:rsidP="00F81B37"/>
    <w:p w14:paraId="7B217D45" w14:textId="77777777" w:rsidR="006F4B9D" w:rsidRPr="008647B2" w:rsidRDefault="006F4B9D">
      <w:pPr>
        <w:rPr>
          <w:b/>
          <w:color w:val="991B1E"/>
        </w:rPr>
      </w:pPr>
      <w:r w:rsidRPr="008647B2">
        <w:rPr>
          <w:b/>
          <w:color w:val="991B1E"/>
        </w:rPr>
        <w:br w:type="page"/>
      </w:r>
    </w:p>
    <w:p w14:paraId="77A07D64" w14:textId="2B76798A" w:rsidR="006F4B9D" w:rsidRPr="008647B2" w:rsidRDefault="006F4B9D" w:rsidP="00F81B37">
      <w:r w:rsidRPr="008647B2">
        <w:rPr>
          <w:b/>
          <w:color w:val="991B1E"/>
        </w:rPr>
        <w:lastRenderedPageBreak/>
        <w:t xml:space="preserve">Appendix D: Suzanne </w:t>
      </w:r>
      <w:proofErr w:type="spellStart"/>
      <w:r w:rsidRPr="008647B2">
        <w:rPr>
          <w:b/>
          <w:color w:val="991B1E"/>
        </w:rPr>
        <w:t>Dworak</w:t>
      </w:r>
      <w:proofErr w:type="spellEnd"/>
      <w:r w:rsidRPr="008647B2">
        <w:rPr>
          <w:b/>
          <w:color w:val="991B1E"/>
        </w:rPr>
        <w:t>-Peck School of Social Work Diversity, Equity, and Inclusion Statement</w:t>
      </w:r>
    </w:p>
    <w:p w14:paraId="07CF88FD" w14:textId="76096788" w:rsidR="006F4B9D" w:rsidRPr="008647B2" w:rsidRDefault="006F4B9D" w:rsidP="00F81B37">
      <w:r w:rsidRPr="008647B2">
        <w:t xml:space="preserve">At the USC Suzanne </w:t>
      </w:r>
      <w:proofErr w:type="spellStart"/>
      <w:r w:rsidRPr="008647B2">
        <w:t>Dworak</w:t>
      </w:r>
      <w:proofErr w:type="spellEnd"/>
      <w:r w:rsidRPr="008647B2">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7" w:history="1">
        <w:r w:rsidRPr="008647B2">
          <w:rPr>
            <w:rStyle w:val="Hyperlink"/>
          </w:rPr>
          <w:t>NASW Code of Ethics</w:t>
        </w:r>
      </w:hyperlink>
      <w:r w:rsidRPr="008647B2">
        <w:t xml:space="preserve">, abide by the </w:t>
      </w:r>
      <w:hyperlink r:id="rId28" w:history="1">
        <w:r w:rsidRPr="008647B2">
          <w:rPr>
            <w:rStyle w:val="Hyperlink"/>
          </w:rPr>
          <w:t>CSWE Educational Policy and Accreditation Standards</w:t>
        </w:r>
      </w:hyperlink>
      <w:r w:rsidRPr="008647B2">
        <w:t xml:space="preserve">, and address the </w:t>
      </w:r>
      <w:hyperlink r:id="rId29" w:history="1">
        <w:r w:rsidRPr="008647B2">
          <w:rPr>
            <w:rStyle w:val="Hyperlink"/>
          </w:rPr>
          <w:t>American Academy of Social Work and Social Welfare, Grand Challenges for Social Work.</w:t>
        </w:r>
      </w:hyperlink>
    </w:p>
    <w:p w14:paraId="61D5BBE6" w14:textId="5F964B2F" w:rsidR="00B130CA" w:rsidRPr="008647B2" w:rsidRDefault="00B130CA" w:rsidP="00F81B37"/>
    <w:p w14:paraId="3F7820DE" w14:textId="77777777" w:rsidR="00B130CA" w:rsidRPr="008647B2" w:rsidRDefault="00B130CA">
      <w:pPr>
        <w:rPr>
          <w:b/>
          <w:color w:val="991B1E"/>
        </w:rPr>
      </w:pPr>
      <w:r w:rsidRPr="008647B2">
        <w:rPr>
          <w:b/>
          <w:color w:val="991B1E"/>
        </w:rPr>
        <w:br w:type="page"/>
      </w:r>
    </w:p>
    <w:p w14:paraId="23CF21BE" w14:textId="77A2E24F" w:rsidR="00B130CA" w:rsidRPr="008647B2" w:rsidRDefault="00B130CA" w:rsidP="00F81B37">
      <w:pPr>
        <w:rPr>
          <w:color w:val="991B1E"/>
        </w:rPr>
      </w:pPr>
      <w:r w:rsidRPr="008647B2">
        <w:rPr>
          <w:b/>
          <w:color w:val="991B1E"/>
        </w:rPr>
        <w:lastRenderedPageBreak/>
        <w:t xml:space="preserve">Appendix E: </w:t>
      </w:r>
      <w:r w:rsidR="00EC4270" w:rsidRPr="008647B2">
        <w:rPr>
          <w:b/>
          <w:color w:val="991B1E"/>
        </w:rPr>
        <w:t>University Policies</w:t>
      </w:r>
      <w:r w:rsidR="001D3EAB" w:rsidRPr="008647B2">
        <w:rPr>
          <w:b/>
          <w:color w:val="991B1E"/>
        </w:rPr>
        <w:t xml:space="preserve"> and </w:t>
      </w:r>
      <w:r w:rsidR="00EC4270" w:rsidRPr="008647B2">
        <w:rPr>
          <w:b/>
          <w:color w:val="991B1E"/>
        </w:rPr>
        <w:t>Guidelines</w:t>
      </w:r>
    </w:p>
    <w:p w14:paraId="04C78B04" w14:textId="269A332B" w:rsidR="0094348C" w:rsidRPr="008647B2" w:rsidRDefault="0094348C" w:rsidP="002E28D4">
      <w:pPr>
        <w:rPr>
          <w:color w:val="991B1E"/>
        </w:rPr>
      </w:pPr>
      <w:r w:rsidRPr="008647B2">
        <w:rPr>
          <w:b/>
          <w:color w:val="991B1E"/>
        </w:rPr>
        <w:t>Attendance Policy</w:t>
      </w:r>
    </w:p>
    <w:p w14:paraId="01A5F31E" w14:textId="6089D5E4" w:rsidR="0094348C" w:rsidRPr="008647B2" w:rsidRDefault="0094348C" w:rsidP="0094348C">
      <w:r w:rsidRPr="008647B2">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CA6C51">
        <w:rPr>
          <w:highlight w:val="yellow"/>
        </w:rPr>
        <w:t>xxx</w:t>
      </w:r>
      <w:r w:rsidRPr="008647B2">
        <w:rPr>
          <w:highlight w:val="yellow"/>
        </w:rPr>
        <w:t>@usc.edu</w:t>
      </w:r>
      <w:r w:rsidRPr="008647B2">
        <w:t>) of any anticipated absence or reason for tardiness.</w:t>
      </w:r>
    </w:p>
    <w:p w14:paraId="566C6EA9" w14:textId="77777777" w:rsidR="0094348C" w:rsidRPr="008647B2" w:rsidRDefault="0094348C" w:rsidP="0094348C">
      <w:r w:rsidRPr="008647B2">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8647B2" w:rsidRDefault="0094348C" w:rsidP="0094348C">
      <w:r w:rsidRPr="008647B2">
        <w:t xml:space="preserve">Please refer to </w:t>
      </w:r>
      <w:hyperlink r:id="rId30" w:history="1">
        <w:proofErr w:type="spellStart"/>
        <w:r w:rsidRPr="008647B2">
          <w:rPr>
            <w:rStyle w:val="Hyperlink"/>
          </w:rPr>
          <w:t>SCampus</w:t>
        </w:r>
        <w:proofErr w:type="spellEnd"/>
      </w:hyperlink>
      <w:r w:rsidRPr="008647B2">
        <w:t xml:space="preserve"> and to the </w:t>
      </w:r>
      <w:hyperlink r:id="rId31" w:history="1">
        <w:r w:rsidRPr="008647B2">
          <w:rPr>
            <w:rStyle w:val="Hyperlink"/>
          </w:rPr>
          <w:t>USC School of Social Work Policies and Procedures</w:t>
        </w:r>
      </w:hyperlink>
      <w:r w:rsidRPr="008647B2">
        <w:t xml:space="preserve"> for additional information on attendance policies.</w:t>
      </w:r>
    </w:p>
    <w:p w14:paraId="2E3F4AA7" w14:textId="77777777" w:rsidR="0094348C" w:rsidRPr="008647B2" w:rsidRDefault="0094348C" w:rsidP="002E28D4">
      <w:pPr>
        <w:rPr>
          <w:b/>
          <w:color w:val="991B1E"/>
        </w:rPr>
      </w:pPr>
    </w:p>
    <w:p w14:paraId="0D761E14" w14:textId="057F67DF" w:rsidR="002E28D4" w:rsidRPr="008647B2" w:rsidRDefault="00EC4270" w:rsidP="002E28D4">
      <w:pPr>
        <w:rPr>
          <w:b/>
          <w:color w:val="991B1E"/>
        </w:rPr>
      </w:pPr>
      <w:r w:rsidRPr="008647B2">
        <w:rPr>
          <w:b/>
          <w:color w:val="991B1E"/>
        </w:rPr>
        <w:t xml:space="preserve">Statement on </w:t>
      </w:r>
      <w:r w:rsidR="002E28D4" w:rsidRPr="008647B2">
        <w:rPr>
          <w:b/>
          <w:color w:val="991B1E"/>
        </w:rPr>
        <w:t>Academic Conduct</w:t>
      </w:r>
    </w:p>
    <w:p w14:paraId="587BA315" w14:textId="30B8FBBD" w:rsidR="00EE2F8D" w:rsidRPr="008647B2" w:rsidRDefault="002E28D4" w:rsidP="002E28D4">
      <w:r w:rsidRPr="008647B2">
        <w:t xml:space="preserve">Plagiarism – presenting someone else’s ideas as your own, either verbatim or recast in your own words – is a serious academic offense with serious consequences. </w:t>
      </w:r>
      <w:r w:rsidR="00EE2F8D" w:rsidRPr="008647B2">
        <w:t>Recording a university class without the express permission of the instructor and an announcement to the class, as well as distributing or using recordings of university lectures or classes without the express permission of the instructor</w:t>
      </w:r>
      <w:r w:rsidR="00BE30E3" w:rsidRPr="008647B2">
        <w:t>,</w:t>
      </w:r>
      <w:r w:rsidR="00EE2F8D" w:rsidRPr="008647B2">
        <w:t xml:space="preserve"> for purposes other than individual or group study</w:t>
      </w:r>
      <w:r w:rsidR="00BE30E3" w:rsidRPr="008647B2">
        <w:t>,</w:t>
      </w:r>
      <w:r w:rsidR="00EE2F8D" w:rsidRPr="008647B2">
        <w:t xml:space="preserve"> also constitute violations of the USC Student Conduct Code.</w:t>
      </w:r>
    </w:p>
    <w:p w14:paraId="076CAABA" w14:textId="5F386FC7" w:rsidR="002E28D4" w:rsidRPr="008647B2" w:rsidRDefault="002E28D4" w:rsidP="002E28D4">
      <w:r w:rsidRPr="008647B2">
        <w:t>Please familiarize yourself with the discussion of plagiarism</w:t>
      </w:r>
      <w:r w:rsidR="00EE2F8D" w:rsidRPr="008647B2">
        <w:t>, unauthorized recording of university classes, and other forms of academic dishonesty</w:t>
      </w:r>
      <w:r w:rsidRPr="008647B2">
        <w:t xml:space="preserve"> </w:t>
      </w:r>
      <w:r w:rsidR="00EE2F8D" w:rsidRPr="008647B2">
        <w:t xml:space="preserve">and misconduct </w:t>
      </w:r>
      <w:r w:rsidRPr="008647B2">
        <w:t xml:space="preserve">in </w:t>
      </w:r>
      <w:proofErr w:type="spellStart"/>
      <w:r w:rsidRPr="008647B2">
        <w:t>SCampus</w:t>
      </w:r>
      <w:proofErr w:type="spellEnd"/>
      <w:r w:rsidR="00EE2F8D" w:rsidRPr="008647B2">
        <w:t xml:space="preserve">, </w:t>
      </w:r>
      <w:r w:rsidRPr="008647B2">
        <w:t>Part B, Section 11, “Behavior Violating University Standards</w:t>
      </w:r>
      <w:r w:rsidR="00BE30E3" w:rsidRPr="008647B2">
        <w:t>,</w:t>
      </w:r>
      <w:r w:rsidRPr="008647B2">
        <w:t xml:space="preserve">” </w:t>
      </w:r>
      <w:r w:rsidR="00BE30E3" w:rsidRPr="008647B2">
        <w:t>as well as</w:t>
      </w:r>
      <w:r w:rsidR="00EE2F8D" w:rsidRPr="008647B2">
        <w:t xml:space="preserve"> information in </w:t>
      </w:r>
      <w:proofErr w:type="spellStart"/>
      <w:r w:rsidRPr="008647B2">
        <w:t>SCampus</w:t>
      </w:r>
      <w:proofErr w:type="spellEnd"/>
      <w:r w:rsidRPr="008647B2">
        <w:t xml:space="preserve"> and </w:t>
      </w:r>
      <w:r w:rsidR="00BE30E3" w:rsidRPr="008647B2">
        <w:t>in the</w:t>
      </w:r>
      <w:r w:rsidR="00EE2F8D" w:rsidRPr="008647B2">
        <w:t xml:space="preserve"> </w:t>
      </w:r>
      <w:r w:rsidRPr="008647B2">
        <w:t>university policies on scientific misconduct.</w:t>
      </w:r>
    </w:p>
    <w:p w14:paraId="132520DA" w14:textId="126A12D4" w:rsidR="001D3EAB" w:rsidRPr="008647B2" w:rsidRDefault="001D3EAB" w:rsidP="002E28D4"/>
    <w:p w14:paraId="0A611B5F" w14:textId="03C0952E" w:rsidR="001D3EAB" w:rsidRPr="008647B2" w:rsidRDefault="001D3EAB" w:rsidP="002E28D4">
      <w:pPr>
        <w:rPr>
          <w:b/>
          <w:color w:val="991B1E"/>
        </w:rPr>
      </w:pPr>
      <w:r w:rsidRPr="008647B2">
        <w:rPr>
          <w:b/>
          <w:color w:val="991B1E"/>
        </w:rPr>
        <w:t>Statement about Incompletes</w:t>
      </w:r>
    </w:p>
    <w:p w14:paraId="0E27BDE9" w14:textId="099F9311" w:rsidR="001D3EAB" w:rsidRPr="008647B2" w:rsidRDefault="001D3EAB" w:rsidP="002E28D4">
      <w:r w:rsidRPr="008647B2">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Pr="008647B2" w:rsidRDefault="001D3EAB" w:rsidP="002E28D4"/>
    <w:p w14:paraId="150A7346" w14:textId="6C388F6B" w:rsidR="001D3EAB" w:rsidRPr="008647B2" w:rsidRDefault="001D3EAB" w:rsidP="002E28D4">
      <w:pPr>
        <w:rPr>
          <w:b/>
          <w:color w:val="991B1E"/>
        </w:rPr>
      </w:pPr>
      <w:r w:rsidRPr="008647B2">
        <w:rPr>
          <w:b/>
          <w:color w:val="991B1E"/>
        </w:rPr>
        <w:t>Policy on Late or Make-up Work</w:t>
      </w:r>
    </w:p>
    <w:p w14:paraId="50E2DB7B" w14:textId="12C6762B" w:rsidR="001D3EAB" w:rsidRPr="008647B2" w:rsidRDefault="001D3EAB" w:rsidP="002E28D4">
      <w:r w:rsidRPr="008647B2">
        <w:t>Papers are due on the day and time specified.  Extensions will be granted only for extenuating circumstances.  If the paper is late without permission, the grade will be affected.</w:t>
      </w:r>
    </w:p>
    <w:p w14:paraId="6EDE63A8" w14:textId="6634B474" w:rsidR="002E28D4" w:rsidRPr="008647B2" w:rsidRDefault="002E28D4" w:rsidP="002E28D4"/>
    <w:p w14:paraId="36AFAA08" w14:textId="77777777" w:rsidR="00971AF4" w:rsidRPr="008647B2" w:rsidRDefault="00971AF4">
      <w:pPr>
        <w:rPr>
          <w:b/>
          <w:color w:val="991B1E"/>
        </w:rPr>
      </w:pPr>
      <w:r w:rsidRPr="008647B2">
        <w:rPr>
          <w:b/>
          <w:color w:val="991B1E"/>
        </w:rPr>
        <w:br w:type="page"/>
      </w:r>
    </w:p>
    <w:p w14:paraId="0EFBC2D3" w14:textId="1DE35E91" w:rsidR="001D3EAB" w:rsidRPr="008647B2" w:rsidRDefault="001D3EAB" w:rsidP="002E28D4">
      <w:pPr>
        <w:rPr>
          <w:b/>
          <w:color w:val="991B1E"/>
        </w:rPr>
      </w:pPr>
      <w:r w:rsidRPr="008647B2">
        <w:rPr>
          <w:b/>
          <w:color w:val="991B1E"/>
        </w:rPr>
        <w:lastRenderedPageBreak/>
        <w:t>Policy on Changes to the Syllabus and/or Course Requirements</w:t>
      </w:r>
    </w:p>
    <w:p w14:paraId="190F78E0" w14:textId="62152B21" w:rsidR="001D3EAB" w:rsidRPr="008647B2" w:rsidRDefault="001D3EAB" w:rsidP="002E28D4">
      <w:r w:rsidRPr="008647B2">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Pr="008647B2" w:rsidRDefault="001D3EAB">
      <w:pPr>
        <w:rPr>
          <w:b/>
          <w:color w:val="991B1E"/>
        </w:rPr>
      </w:pPr>
    </w:p>
    <w:p w14:paraId="03A15517" w14:textId="18D8F680" w:rsidR="001D3EAB" w:rsidRPr="008647B2" w:rsidRDefault="001D3EAB">
      <w:pPr>
        <w:rPr>
          <w:color w:val="991B1E"/>
        </w:rPr>
      </w:pPr>
      <w:r w:rsidRPr="008647B2">
        <w:rPr>
          <w:b/>
          <w:color w:val="991B1E"/>
        </w:rPr>
        <w:t>Code of Ethics of the National Association of Social Workers (Optional)</w:t>
      </w:r>
    </w:p>
    <w:p w14:paraId="09351D1E" w14:textId="67B67A5A" w:rsidR="001D3EAB" w:rsidRPr="008647B2" w:rsidRDefault="001D3EAB" w:rsidP="001D3EAB">
      <w:pPr>
        <w:rPr>
          <w:i/>
        </w:rPr>
      </w:pPr>
      <w:r w:rsidRPr="008647B2">
        <w:rPr>
          <w:i/>
        </w:rPr>
        <w:t xml:space="preserve">Approved by the 1996 NASW Delegate Assembly and revised by the 2017 NASW Delegate Assembly </w:t>
      </w:r>
      <w:hyperlink r:id="rId32" w:history="1">
        <w:r w:rsidRPr="008647B2">
          <w:rPr>
            <w:rStyle w:val="Hyperlink"/>
            <w:i/>
          </w:rPr>
          <w:t>https://www.socialworkers.org/About/Ethics/Code-of-Ethics/Code-of-Ethics-English</w:t>
        </w:r>
      </w:hyperlink>
    </w:p>
    <w:p w14:paraId="6A82FA98" w14:textId="77777777" w:rsidR="001D3EAB" w:rsidRPr="008647B2" w:rsidRDefault="001D3EAB" w:rsidP="001D3EAB">
      <w:pPr>
        <w:rPr>
          <w:b/>
        </w:rPr>
      </w:pPr>
      <w:r w:rsidRPr="008647B2">
        <w:rPr>
          <w:b/>
        </w:rPr>
        <w:t>Preamble</w:t>
      </w:r>
    </w:p>
    <w:p w14:paraId="3DD47FDF" w14:textId="77777777" w:rsidR="001D3EAB" w:rsidRPr="008647B2" w:rsidRDefault="001D3EAB" w:rsidP="001D3EAB">
      <w:r w:rsidRPr="008647B2">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8647B2" w:rsidRDefault="001D3EAB" w:rsidP="001D3EAB">
      <w:r w:rsidRPr="008647B2">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8647B2" w:rsidRDefault="001D3EAB" w:rsidP="001D3EAB">
      <w:r w:rsidRPr="008647B2">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8647B2" w:rsidRDefault="001D3EAB" w:rsidP="001D3EAB">
      <w:pPr>
        <w:pStyle w:val="ListParagraph"/>
        <w:numPr>
          <w:ilvl w:val="0"/>
          <w:numId w:val="8"/>
        </w:numPr>
        <w:rPr>
          <w:rFonts w:ascii="Times New Roman" w:hAnsi="Times New Roman" w:cs="Times New Roman"/>
        </w:rPr>
      </w:pPr>
      <w:r w:rsidRPr="008647B2">
        <w:rPr>
          <w:rFonts w:ascii="Times New Roman" w:hAnsi="Times New Roman" w:cs="Times New Roman"/>
        </w:rPr>
        <w:t xml:space="preserve">Service </w:t>
      </w:r>
    </w:p>
    <w:p w14:paraId="53E1230B" w14:textId="48196CE1" w:rsidR="001D3EAB" w:rsidRPr="008647B2" w:rsidRDefault="001D3EAB" w:rsidP="001D3EAB">
      <w:pPr>
        <w:pStyle w:val="ListParagraph"/>
        <w:numPr>
          <w:ilvl w:val="0"/>
          <w:numId w:val="8"/>
        </w:numPr>
        <w:rPr>
          <w:rFonts w:ascii="Times New Roman" w:hAnsi="Times New Roman" w:cs="Times New Roman"/>
        </w:rPr>
      </w:pPr>
      <w:r w:rsidRPr="008647B2">
        <w:rPr>
          <w:rFonts w:ascii="Times New Roman" w:hAnsi="Times New Roman" w:cs="Times New Roman"/>
        </w:rPr>
        <w:t xml:space="preserve">Social justice </w:t>
      </w:r>
    </w:p>
    <w:p w14:paraId="7F0A2EE4" w14:textId="5A8FAD8D" w:rsidR="001D3EAB" w:rsidRPr="008647B2" w:rsidRDefault="001D3EAB" w:rsidP="001D3EAB">
      <w:pPr>
        <w:pStyle w:val="ListParagraph"/>
        <w:numPr>
          <w:ilvl w:val="0"/>
          <w:numId w:val="8"/>
        </w:numPr>
        <w:rPr>
          <w:rFonts w:ascii="Times New Roman" w:hAnsi="Times New Roman" w:cs="Times New Roman"/>
        </w:rPr>
      </w:pPr>
      <w:r w:rsidRPr="008647B2">
        <w:rPr>
          <w:rFonts w:ascii="Times New Roman" w:hAnsi="Times New Roman" w:cs="Times New Roman"/>
        </w:rPr>
        <w:t xml:space="preserve">Dignity and worth of the person </w:t>
      </w:r>
    </w:p>
    <w:p w14:paraId="44B5CF1F" w14:textId="4586F513" w:rsidR="001D3EAB" w:rsidRPr="008647B2" w:rsidRDefault="001D3EAB" w:rsidP="001D3EAB">
      <w:pPr>
        <w:pStyle w:val="ListParagraph"/>
        <w:numPr>
          <w:ilvl w:val="0"/>
          <w:numId w:val="8"/>
        </w:numPr>
        <w:rPr>
          <w:rFonts w:ascii="Times New Roman" w:hAnsi="Times New Roman" w:cs="Times New Roman"/>
        </w:rPr>
      </w:pPr>
      <w:r w:rsidRPr="008647B2">
        <w:rPr>
          <w:rFonts w:ascii="Times New Roman" w:hAnsi="Times New Roman" w:cs="Times New Roman"/>
        </w:rPr>
        <w:t xml:space="preserve">Importance of human relationships </w:t>
      </w:r>
    </w:p>
    <w:p w14:paraId="0DD7C07E" w14:textId="499BEC22" w:rsidR="001D3EAB" w:rsidRPr="008647B2" w:rsidRDefault="001D3EAB" w:rsidP="001D3EAB">
      <w:pPr>
        <w:pStyle w:val="ListParagraph"/>
        <w:numPr>
          <w:ilvl w:val="0"/>
          <w:numId w:val="8"/>
        </w:numPr>
        <w:rPr>
          <w:rFonts w:ascii="Times New Roman" w:hAnsi="Times New Roman" w:cs="Times New Roman"/>
        </w:rPr>
      </w:pPr>
      <w:r w:rsidRPr="008647B2">
        <w:rPr>
          <w:rFonts w:ascii="Times New Roman" w:hAnsi="Times New Roman" w:cs="Times New Roman"/>
        </w:rPr>
        <w:t xml:space="preserve">Integrity </w:t>
      </w:r>
    </w:p>
    <w:p w14:paraId="2900484A" w14:textId="194CA708" w:rsidR="001D3EAB" w:rsidRPr="008647B2" w:rsidRDefault="001D3EAB" w:rsidP="001D3EAB">
      <w:pPr>
        <w:pStyle w:val="ListParagraph"/>
        <w:numPr>
          <w:ilvl w:val="0"/>
          <w:numId w:val="8"/>
        </w:numPr>
        <w:rPr>
          <w:rFonts w:ascii="Times New Roman" w:hAnsi="Times New Roman" w:cs="Times New Roman"/>
        </w:rPr>
      </w:pPr>
      <w:r w:rsidRPr="008647B2">
        <w:rPr>
          <w:rFonts w:ascii="Times New Roman" w:hAnsi="Times New Roman" w:cs="Times New Roman"/>
        </w:rPr>
        <w:t>Competence</w:t>
      </w:r>
    </w:p>
    <w:p w14:paraId="56753ABB" w14:textId="013AE1B2" w:rsidR="001D3EAB" w:rsidRPr="008647B2" w:rsidRDefault="001D3EAB" w:rsidP="001D3EAB">
      <w:r w:rsidRPr="008647B2">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8647B2" w:rsidRDefault="008D0334" w:rsidP="001D3EAB"/>
    <w:p w14:paraId="4FE5E055" w14:textId="610F34C9" w:rsidR="008D0334" w:rsidRPr="008647B2" w:rsidRDefault="008D0334" w:rsidP="001D3EAB">
      <w:pPr>
        <w:rPr>
          <w:b/>
          <w:color w:val="991B1E"/>
        </w:rPr>
      </w:pPr>
      <w:r w:rsidRPr="008647B2">
        <w:rPr>
          <w:b/>
          <w:color w:val="991B1E"/>
        </w:rPr>
        <w:t>Academic Dishonesty Sanction Guidelines</w:t>
      </w:r>
    </w:p>
    <w:p w14:paraId="1F68F9DC" w14:textId="66DD2BE6" w:rsidR="008D0334" w:rsidRPr="008647B2" w:rsidRDefault="008D0334" w:rsidP="001D3EAB">
      <w:r w:rsidRPr="008647B2">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w:t>
      </w:r>
      <w:r w:rsidRPr="008647B2">
        <w:lastRenderedPageBreak/>
        <w:t>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Pr="008647B2" w:rsidRDefault="008D0334" w:rsidP="001D3EAB"/>
    <w:p w14:paraId="191E8CE2" w14:textId="1FD3563D" w:rsidR="008D0334" w:rsidRPr="008647B2" w:rsidRDefault="008D0334" w:rsidP="001D3EAB">
      <w:r w:rsidRPr="008647B2">
        <w:rPr>
          <w:b/>
          <w:color w:val="991B1E"/>
        </w:rPr>
        <w:t>Complaints</w:t>
      </w:r>
    </w:p>
    <w:p w14:paraId="09A01AE2" w14:textId="7767FFD8" w:rsidR="008D0334" w:rsidRPr="008647B2" w:rsidRDefault="008D0334" w:rsidP="001D3EAB">
      <w:r w:rsidRPr="008647B2">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Pr="008647B2" w:rsidRDefault="008D0334">
      <w:pPr>
        <w:rPr>
          <w:b/>
          <w:color w:val="991B1E"/>
        </w:rPr>
      </w:pPr>
    </w:p>
    <w:p w14:paraId="36632ED6" w14:textId="77777777" w:rsidR="008D0334" w:rsidRPr="008647B2" w:rsidRDefault="008D0334">
      <w:pPr>
        <w:rPr>
          <w:color w:val="991B1E"/>
        </w:rPr>
      </w:pPr>
      <w:r w:rsidRPr="008647B2">
        <w:rPr>
          <w:b/>
          <w:color w:val="991B1E"/>
        </w:rPr>
        <w:t>Tips for Maximizing Your Learning Experience in this Course (Optional)</w:t>
      </w:r>
    </w:p>
    <w:p w14:paraId="0146BA55" w14:textId="77777777" w:rsidR="00331553" w:rsidRPr="008647B2" w:rsidRDefault="00331553" w:rsidP="00331553">
      <w:pPr>
        <w:pStyle w:val="ListParagraph"/>
        <w:numPr>
          <w:ilvl w:val="0"/>
          <w:numId w:val="9"/>
        </w:numPr>
        <w:rPr>
          <w:rFonts w:ascii="Times New Roman" w:hAnsi="Times New Roman" w:cs="Times New Roman"/>
        </w:rPr>
      </w:pPr>
      <w:r w:rsidRPr="008647B2">
        <w:rPr>
          <w:rFonts w:ascii="Times New Roman" w:hAnsi="Times New Roman" w:cs="Times New Roman"/>
        </w:rPr>
        <w:t xml:space="preserve">Be mindful of getting proper nutrition, exercise, rest and sleep! </w:t>
      </w:r>
    </w:p>
    <w:p w14:paraId="1166F745" w14:textId="77777777" w:rsidR="00331553" w:rsidRPr="008647B2" w:rsidRDefault="00331553" w:rsidP="00331553">
      <w:pPr>
        <w:pStyle w:val="ListParagraph"/>
        <w:numPr>
          <w:ilvl w:val="0"/>
          <w:numId w:val="9"/>
        </w:numPr>
        <w:rPr>
          <w:rFonts w:ascii="Times New Roman" w:hAnsi="Times New Roman" w:cs="Times New Roman"/>
        </w:rPr>
      </w:pPr>
      <w:r w:rsidRPr="008647B2">
        <w:rPr>
          <w:rFonts w:ascii="Times New Roman" w:hAnsi="Times New Roman" w:cs="Times New Roman"/>
        </w:rPr>
        <w:t>Come to class.</w:t>
      </w:r>
    </w:p>
    <w:p w14:paraId="3628C1DF" w14:textId="77777777" w:rsidR="00331553" w:rsidRPr="008647B2" w:rsidRDefault="00331553" w:rsidP="00331553">
      <w:pPr>
        <w:pStyle w:val="ListParagraph"/>
        <w:numPr>
          <w:ilvl w:val="0"/>
          <w:numId w:val="9"/>
        </w:numPr>
        <w:rPr>
          <w:rFonts w:ascii="Times New Roman" w:hAnsi="Times New Roman" w:cs="Times New Roman"/>
        </w:rPr>
      </w:pPr>
      <w:r w:rsidRPr="008647B2">
        <w:rPr>
          <w:rFonts w:ascii="Times New Roman" w:hAnsi="Times New Roman" w:cs="Times New Roman"/>
        </w:rPr>
        <w:t xml:space="preserve">Complete required readings and assignments BEFORE coming to class. </w:t>
      </w:r>
    </w:p>
    <w:p w14:paraId="54A26901" w14:textId="77777777" w:rsidR="00331553" w:rsidRPr="008647B2" w:rsidRDefault="00331553" w:rsidP="00331553">
      <w:pPr>
        <w:pStyle w:val="ListParagraph"/>
        <w:numPr>
          <w:ilvl w:val="0"/>
          <w:numId w:val="9"/>
        </w:numPr>
        <w:rPr>
          <w:rFonts w:ascii="Times New Roman" w:hAnsi="Times New Roman" w:cs="Times New Roman"/>
        </w:rPr>
      </w:pPr>
      <w:r w:rsidRPr="008647B2">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8647B2" w:rsidRDefault="00331553" w:rsidP="00331553">
      <w:pPr>
        <w:pStyle w:val="ListParagraph"/>
        <w:numPr>
          <w:ilvl w:val="0"/>
          <w:numId w:val="9"/>
        </w:numPr>
        <w:rPr>
          <w:rFonts w:ascii="Times New Roman" w:hAnsi="Times New Roman" w:cs="Times New Roman"/>
        </w:rPr>
      </w:pPr>
      <w:r w:rsidRPr="008647B2">
        <w:rPr>
          <w:rFonts w:ascii="Times New Roman" w:hAnsi="Times New Roman" w:cs="Times New Roman"/>
        </w:rPr>
        <w:t>Come to class prepared to ask any questions you might have.</w:t>
      </w:r>
    </w:p>
    <w:p w14:paraId="127D4389" w14:textId="77777777" w:rsidR="00331553" w:rsidRPr="008647B2" w:rsidRDefault="00331553" w:rsidP="00331553">
      <w:pPr>
        <w:pStyle w:val="ListParagraph"/>
        <w:numPr>
          <w:ilvl w:val="0"/>
          <w:numId w:val="9"/>
        </w:numPr>
        <w:rPr>
          <w:rFonts w:ascii="Times New Roman" w:hAnsi="Times New Roman" w:cs="Times New Roman"/>
        </w:rPr>
      </w:pPr>
      <w:r w:rsidRPr="008647B2">
        <w:rPr>
          <w:rFonts w:ascii="Times New Roman" w:hAnsi="Times New Roman" w:cs="Times New Roman"/>
        </w:rPr>
        <w:t>Participate in class discussions.</w:t>
      </w:r>
    </w:p>
    <w:p w14:paraId="6A94953D" w14:textId="77777777" w:rsidR="00331553" w:rsidRPr="008647B2" w:rsidRDefault="00331553" w:rsidP="00331553">
      <w:pPr>
        <w:pStyle w:val="ListParagraph"/>
        <w:numPr>
          <w:ilvl w:val="0"/>
          <w:numId w:val="9"/>
        </w:numPr>
        <w:rPr>
          <w:rFonts w:ascii="Times New Roman" w:hAnsi="Times New Roman" w:cs="Times New Roman"/>
        </w:rPr>
      </w:pPr>
      <w:r w:rsidRPr="008647B2">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8647B2" w:rsidRDefault="00331553" w:rsidP="00331553">
      <w:pPr>
        <w:pStyle w:val="ListParagraph"/>
        <w:numPr>
          <w:ilvl w:val="0"/>
          <w:numId w:val="9"/>
        </w:numPr>
        <w:rPr>
          <w:rFonts w:ascii="Times New Roman" w:hAnsi="Times New Roman" w:cs="Times New Roman"/>
        </w:rPr>
      </w:pPr>
      <w:r w:rsidRPr="008647B2">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8647B2" w:rsidRDefault="00331553" w:rsidP="00331553">
      <w:pPr>
        <w:pStyle w:val="ListParagraph"/>
        <w:numPr>
          <w:ilvl w:val="0"/>
          <w:numId w:val="9"/>
        </w:numPr>
        <w:rPr>
          <w:rFonts w:ascii="Times New Roman" w:hAnsi="Times New Roman" w:cs="Times New Roman"/>
          <w:b/>
          <w:color w:val="991B1E"/>
        </w:rPr>
      </w:pPr>
      <w:r w:rsidRPr="008647B2">
        <w:rPr>
          <w:rFonts w:ascii="Times New Roman" w:hAnsi="Times New Roman" w:cs="Times New Roman"/>
        </w:rPr>
        <w:t>Keep up with the assigned readings.</w:t>
      </w:r>
      <w:r w:rsidRPr="008647B2">
        <w:rPr>
          <w:rFonts w:ascii="Times New Roman" w:hAnsi="Times New Roman" w:cs="Times New Roman"/>
          <w:b/>
        </w:rPr>
        <w:t xml:space="preserve"> </w:t>
      </w:r>
      <w:r w:rsidR="001D3EAB" w:rsidRPr="008647B2">
        <w:rPr>
          <w:rFonts w:ascii="Times New Roman" w:hAnsi="Times New Roman" w:cs="Times New Roman"/>
          <w:b/>
          <w:color w:val="991B1E"/>
        </w:rPr>
        <w:br w:type="page"/>
      </w:r>
    </w:p>
    <w:p w14:paraId="64A205D0" w14:textId="53612513" w:rsidR="002E28D4" w:rsidRPr="008647B2" w:rsidRDefault="001D3EAB" w:rsidP="002E28D4">
      <w:pPr>
        <w:rPr>
          <w:b/>
          <w:color w:val="991B1E"/>
        </w:rPr>
      </w:pPr>
      <w:r w:rsidRPr="008647B2">
        <w:rPr>
          <w:b/>
          <w:color w:val="991B1E"/>
        </w:rPr>
        <w:lastRenderedPageBreak/>
        <w:t xml:space="preserve">Appendix F: </w:t>
      </w:r>
      <w:r w:rsidR="002E28D4" w:rsidRPr="008647B2">
        <w:rPr>
          <w:b/>
          <w:color w:val="991B1E"/>
        </w:rPr>
        <w:t>Support Systems</w:t>
      </w:r>
      <w:r w:rsidRPr="008647B2">
        <w:rPr>
          <w:b/>
          <w:color w:val="991B1E"/>
        </w:rPr>
        <w:t xml:space="preserve"> and Additional Resources</w:t>
      </w:r>
      <w:r w:rsidR="002E28D4" w:rsidRPr="008647B2">
        <w:rPr>
          <w:b/>
          <w:color w:val="991B1E"/>
        </w:rPr>
        <w:t xml:space="preserve"> </w:t>
      </w:r>
    </w:p>
    <w:p w14:paraId="3A420C25" w14:textId="77777777" w:rsidR="00D67081" w:rsidRPr="008647B2" w:rsidRDefault="002E28D4" w:rsidP="00EC4270">
      <w:pPr>
        <w:pStyle w:val="NoSpacing"/>
        <w:rPr>
          <w:rFonts w:ascii="Times New Roman" w:hAnsi="Times New Roman" w:cs="Times New Roman"/>
          <w:b/>
        </w:rPr>
      </w:pPr>
      <w:r w:rsidRPr="008647B2">
        <w:rPr>
          <w:rFonts w:ascii="Times New Roman" w:hAnsi="Times New Roman" w:cs="Times New Roman"/>
          <w:b/>
        </w:rPr>
        <w:t>Counseling and Mental Health</w:t>
      </w:r>
      <w:r w:rsidR="00D67081" w:rsidRPr="008647B2">
        <w:rPr>
          <w:rFonts w:ascii="Times New Roman" w:hAnsi="Times New Roman" w:cs="Times New Roman"/>
          <w:b/>
        </w:rPr>
        <w:t xml:space="preserve"> </w:t>
      </w:r>
    </w:p>
    <w:p w14:paraId="36C5D80D" w14:textId="6EDCCB83" w:rsidR="002E28D4" w:rsidRPr="008647B2" w:rsidRDefault="001A5026" w:rsidP="00EC4270">
      <w:pPr>
        <w:pStyle w:val="NoSpacing"/>
        <w:rPr>
          <w:rFonts w:ascii="Times New Roman" w:hAnsi="Times New Roman" w:cs="Times New Roman"/>
        </w:rPr>
      </w:pPr>
      <w:hyperlink r:id="rId33" w:history="1">
        <w:r w:rsidR="00D67081" w:rsidRPr="008647B2">
          <w:rPr>
            <w:rStyle w:val="Hyperlink"/>
            <w:rFonts w:ascii="Times New Roman" w:hAnsi="Times New Roman" w:cs="Times New Roman"/>
          </w:rPr>
          <w:t>https://studenthealth.usc.edu/counseling/</w:t>
        </w:r>
      </w:hyperlink>
    </w:p>
    <w:p w14:paraId="5EFE3C3E" w14:textId="4EF41FD0"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Phone number (213) 740-9355</w:t>
      </w:r>
    </w:p>
    <w:p w14:paraId="5A5A0857"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On call 24/7</w:t>
      </w:r>
    </w:p>
    <w:p w14:paraId="4AFEC813"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8647B2" w:rsidRDefault="002E28D4" w:rsidP="002E28D4"/>
    <w:p w14:paraId="300FDEFD" w14:textId="77777777" w:rsidR="00D67081" w:rsidRPr="008647B2" w:rsidRDefault="002E28D4" w:rsidP="00EC4270">
      <w:pPr>
        <w:pStyle w:val="NoSpacing"/>
        <w:rPr>
          <w:rFonts w:ascii="Times New Roman" w:hAnsi="Times New Roman" w:cs="Times New Roman"/>
          <w:b/>
          <w:lang w:val="fr-FR"/>
        </w:rPr>
      </w:pPr>
      <w:r w:rsidRPr="008647B2">
        <w:rPr>
          <w:rFonts w:ascii="Times New Roman" w:hAnsi="Times New Roman" w:cs="Times New Roman"/>
          <w:b/>
          <w:lang w:val="fr-FR"/>
        </w:rPr>
        <w:t xml:space="preserve">National Suicide </w:t>
      </w:r>
      <w:proofErr w:type="spellStart"/>
      <w:r w:rsidRPr="008647B2">
        <w:rPr>
          <w:rFonts w:ascii="Times New Roman" w:hAnsi="Times New Roman" w:cs="Times New Roman"/>
          <w:b/>
          <w:lang w:val="fr-FR"/>
        </w:rPr>
        <w:t>Prevention</w:t>
      </w:r>
      <w:proofErr w:type="spellEnd"/>
      <w:r w:rsidRPr="008647B2">
        <w:rPr>
          <w:rFonts w:ascii="Times New Roman" w:hAnsi="Times New Roman" w:cs="Times New Roman"/>
          <w:b/>
          <w:lang w:val="fr-FR"/>
        </w:rPr>
        <w:t xml:space="preserve"> </w:t>
      </w:r>
      <w:proofErr w:type="spellStart"/>
      <w:r w:rsidRPr="008647B2">
        <w:rPr>
          <w:rFonts w:ascii="Times New Roman" w:hAnsi="Times New Roman" w:cs="Times New Roman"/>
          <w:b/>
          <w:lang w:val="fr-FR"/>
        </w:rPr>
        <w:t>Lifeline</w:t>
      </w:r>
      <w:proofErr w:type="spellEnd"/>
      <w:r w:rsidR="00D67081" w:rsidRPr="008647B2">
        <w:rPr>
          <w:rFonts w:ascii="Times New Roman" w:hAnsi="Times New Roman" w:cs="Times New Roman"/>
          <w:b/>
          <w:lang w:val="fr-FR"/>
        </w:rPr>
        <w:t xml:space="preserve"> </w:t>
      </w:r>
    </w:p>
    <w:p w14:paraId="3DDB1915" w14:textId="1775C720" w:rsidR="00D67081" w:rsidRPr="008647B2" w:rsidRDefault="001A5026" w:rsidP="00EC4270">
      <w:pPr>
        <w:pStyle w:val="NoSpacing"/>
        <w:rPr>
          <w:rFonts w:ascii="Times New Roman" w:hAnsi="Times New Roman" w:cs="Times New Roman"/>
          <w:lang w:val="fr-FR"/>
        </w:rPr>
      </w:pPr>
      <w:hyperlink r:id="rId34" w:history="1">
        <w:r w:rsidR="00D67081" w:rsidRPr="008647B2">
          <w:rPr>
            <w:rStyle w:val="Hyperlink"/>
            <w:rFonts w:ascii="Times New Roman" w:hAnsi="Times New Roman" w:cs="Times New Roman"/>
            <w:lang w:val="fr-FR"/>
          </w:rPr>
          <w:t>https://suicidepreventionlifeline.org/</w:t>
        </w:r>
      </w:hyperlink>
    </w:p>
    <w:p w14:paraId="4EA42BB4"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Phone number 1 (800) 273-8255</w:t>
      </w:r>
    </w:p>
    <w:p w14:paraId="0B2D693E"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On call 24/7</w:t>
      </w:r>
    </w:p>
    <w:p w14:paraId="682B229F"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Free and confidential emotional support to people in suicidal crisis or emotional distress 24 hours a day, 7 days a week.</w:t>
      </w:r>
    </w:p>
    <w:p w14:paraId="59DC2951" w14:textId="77777777" w:rsidR="002E28D4" w:rsidRPr="008647B2" w:rsidRDefault="002E28D4" w:rsidP="002E28D4"/>
    <w:p w14:paraId="1666C237" w14:textId="77777777" w:rsidR="00D67081" w:rsidRPr="008647B2" w:rsidRDefault="002E28D4" w:rsidP="00EC4270">
      <w:pPr>
        <w:pStyle w:val="NoSpacing"/>
        <w:rPr>
          <w:rFonts w:ascii="Times New Roman" w:hAnsi="Times New Roman" w:cs="Times New Roman"/>
          <w:b/>
        </w:rPr>
      </w:pPr>
      <w:r w:rsidRPr="008647B2">
        <w:rPr>
          <w:rFonts w:ascii="Times New Roman" w:hAnsi="Times New Roman" w:cs="Times New Roman"/>
          <w:b/>
        </w:rPr>
        <w:t xml:space="preserve">Relationship and Sexual Violence Prevention Services (RSVP) </w:t>
      </w:r>
    </w:p>
    <w:p w14:paraId="6E29F66B" w14:textId="7F357EEF" w:rsidR="002E28D4" w:rsidRPr="008647B2" w:rsidRDefault="001A5026" w:rsidP="00EC4270">
      <w:pPr>
        <w:pStyle w:val="NoSpacing"/>
        <w:rPr>
          <w:rFonts w:ascii="Times New Roman" w:hAnsi="Times New Roman" w:cs="Times New Roman"/>
        </w:rPr>
      </w:pPr>
      <w:hyperlink r:id="rId35" w:history="1">
        <w:r w:rsidR="00D67081" w:rsidRPr="008647B2">
          <w:rPr>
            <w:rStyle w:val="Hyperlink"/>
            <w:rFonts w:ascii="Times New Roman" w:hAnsi="Times New Roman" w:cs="Times New Roman"/>
          </w:rPr>
          <w:t>https://studenthealth.usc.edu/sexual-assault/</w:t>
        </w:r>
      </w:hyperlink>
    </w:p>
    <w:p w14:paraId="5ADF5996"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Phone Number (213) 740-9355(WELL), press “0” after hours</w:t>
      </w:r>
    </w:p>
    <w:p w14:paraId="457CACEE"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On call 24/7</w:t>
      </w:r>
    </w:p>
    <w:p w14:paraId="5B02ED57"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Free and confidential therapy services, workshops, and training for situations related to gender-based harm.</w:t>
      </w:r>
    </w:p>
    <w:p w14:paraId="1A581C5E" w14:textId="77777777" w:rsidR="002E28D4" w:rsidRPr="008647B2" w:rsidRDefault="002E28D4" w:rsidP="002E28D4"/>
    <w:p w14:paraId="7521F158" w14:textId="77777777" w:rsidR="00D67081" w:rsidRPr="008647B2" w:rsidRDefault="002E28D4" w:rsidP="00EC4270">
      <w:pPr>
        <w:pStyle w:val="NoSpacing"/>
        <w:rPr>
          <w:rFonts w:ascii="Times New Roman" w:hAnsi="Times New Roman" w:cs="Times New Roman"/>
          <w:b/>
        </w:rPr>
      </w:pPr>
      <w:r w:rsidRPr="008647B2">
        <w:rPr>
          <w:rFonts w:ascii="Times New Roman" w:hAnsi="Times New Roman" w:cs="Times New Roman"/>
          <w:b/>
        </w:rPr>
        <w:t xml:space="preserve">USC Office of Equity, Equal Opportunity, and Title IX </w:t>
      </w:r>
    </w:p>
    <w:p w14:paraId="4144FBFE" w14:textId="3234ABF0" w:rsidR="002E28D4" w:rsidRPr="008647B2" w:rsidRDefault="001A5026" w:rsidP="00EC4270">
      <w:pPr>
        <w:pStyle w:val="NoSpacing"/>
        <w:rPr>
          <w:rFonts w:ascii="Times New Roman" w:hAnsi="Times New Roman" w:cs="Times New Roman"/>
        </w:rPr>
      </w:pPr>
      <w:hyperlink r:id="rId36" w:history="1">
        <w:r w:rsidR="00D67081" w:rsidRPr="008647B2">
          <w:rPr>
            <w:rStyle w:val="Hyperlink"/>
            <w:rFonts w:ascii="Times New Roman" w:hAnsi="Times New Roman" w:cs="Times New Roman"/>
          </w:rPr>
          <w:t>https://eeotix.usc.edu/</w:t>
        </w:r>
      </w:hyperlink>
    </w:p>
    <w:p w14:paraId="0E8421CF"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Phone number (213) 740-5086</w:t>
      </w:r>
    </w:p>
    <w:p w14:paraId="7E11B034"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Title IX Office (213) 821-8298</w:t>
      </w:r>
    </w:p>
    <w:p w14:paraId="07A1A8F7"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5FDBB8C3" w14:textId="77777777" w:rsidR="002E28D4" w:rsidRPr="008647B2" w:rsidRDefault="002E28D4" w:rsidP="002E28D4"/>
    <w:p w14:paraId="77F9A8B6" w14:textId="77777777" w:rsidR="00D67081" w:rsidRPr="008647B2" w:rsidRDefault="002E28D4" w:rsidP="00EC4270">
      <w:pPr>
        <w:pStyle w:val="NoSpacing"/>
        <w:rPr>
          <w:rFonts w:ascii="Times New Roman" w:hAnsi="Times New Roman" w:cs="Times New Roman"/>
          <w:b/>
        </w:rPr>
      </w:pPr>
      <w:r w:rsidRPr="008647B2">
        <w:rPr>
          <w:rFonts w:ascii="Times New Roman" w:hAnsi="Times New Roman" w:cs="Times New Roman"/>
          <w:b/>
        </w:rPr>
        <w:t>Reporting Incidents of Bias or Harassment</w:t>
      </w:r>
      <w:r w:rsidR="00D67081" w:rsidRPr="008647B2">
        <w:rPr>
          <w:rFonts w:ascii="Times New Roman" w:hAnsi="Times New Roman" w:cs="Times New Roman"/>
          <w:b/>
        </w:rPr>
        <w:t xml:space="preserve"> </w:t>
      </w:r>
    </w:p>
    <w:p w14:paraId="0A1CFA29" w14:textId="41460B71" w:rsidR="00D67081" w:rsidRPr="008647B2" w:rsidRDefault="001A5026" w:rsidP="00EC4270">
      <w:pPr>
        <w:pStyle w:val="NoSpacing"/>
        <w:rPr>
          <w:rFonts w:ascii="Times New Roman" w:hAnsi="Times New Roman" w:cs="Times New Roman"/>
        </w:rPr>
      </w:pPr>
      <w:hyperlink r:id="rId37" w:history="1">
        <w:r w:rsidR="00D67081" w:rsidRPr="008647B2">
          <w:rPr>
            <w:rStyle w:val="Hyperlink"/>
            <w:rFonts w:ascii="Times New Roman" w:hAnsi="Times New Roman" w:cs="Times New Roman"/>
          </w:rPr>
          <w:t>https://usc-advocate.symplicity.com/care_report/index.php/pid422659</w:t>
        </w:r>
      </w:hyperlink>
      <w:r w:rsidR="00D67081" w:rsidRPr="008647B2">
        <w:rPr>
          <w:rFonts w:ascii="Times New Roman" w:hAnsi="Times New Roman" w:cs="Times New Roman"/>
        </w:rPr>
        <w:t>?</w:t>
      </w:r>
    </w:p>
    <w:p w14:paraId="7B6B3BE3" w14:textId="787A6260"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Phone number (213) 740-5086 or (213) 821-8298</w:t>
      </w:r>
    </w:p>
    <w:p w14:paraId="5BE56E32"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8647B2" w:rsidRDefault="002E28D4" w:rsidP="002E28D4"/>
    <w:p w14:paraId="14E82ADD" w14:textId="3731BF46" w:rsidR="002E28D4" w:rsidRPr="008647B2" w:rsidRDefault="002E28D4" w:rsidP="00EC4270">
      <w:pPr>
        <w:pStyle w:val="NoSpacing"/>
        <w:rPr>
          <w:rFonts w:ascii="Times New Roman" w:hAnsi="Times New Roman" w:cs="Times New Roman"/>
          <w:b/>
        </w:rPr>
      </w:pPr>
      <w:r w:rsidRPr="008647B2">
        <w:rPr>
          <w:rFonts w:ascii="Times New Roman" w:hAnsi="Times New Roman" w:cs="Times New Roman"/>
          <w:b/>
        </w:rPr>
        <w:t>The Office of Disability Services and Programs</w:t>
      </w:r>
    </w:p>
    <w:p w14:paraId="0A83B660" w14:textId="709AFB13" w:rsidR="00D67081" w:rsidRPr="008647B2" w:rsidRDefault="001A5026" w:rsidP="00EC4270">
      <w:pPr>
        <w:pStyle w:val="NoSpacing"/>
        <w:rPr>
          <w:rFonts w:ascii="Times New Roman" w:hAnsi="Times New Roman" w:cs="Times New Roman"/>
        </w:rPr>
      </w:pPr>
      <w:hyperlink r:id="rId38" w:history="1">
        <w:r w:rsidR="00D67081" w:rsidRPr="008647B2">
          <w:rPr>
            <w:rStyle w:val="Hyperlink"/>
            <w:rFonts w:ascii="Times New Roman" w:hAnsi="Times New Roman" w:cs="Times New Roman"/>
          </w:rPr>
          <w:t>https://dsp.usc.edu/</w:t>
        </w:r>
      </w:hyperlink>
    </w:p>
    <w:p w14:paraId="29C10AEC"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Phone number (213) 740-0776</w:t>
      </w:r>
    </w:p>
    <w:p w14:paraId="6DCCC0C5"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8647B2" w:rsidRDefault="002E28D4" w:rsidP="002E28D4"/>
    <w:p w14:paraId="66EEFE8E" w14:textId="77777777" w:rsidR="002E28D4" w:rsidRPr="008647B2" w:rsidRDefault="002E28D4" w:rsidP="00EC4270">
      <w:pPr>
        <w:pStyle w:val="NoSpacing"/>
        <w:rPr>
          <w:rFonts w:ascii="Times New Roman" w:hAnsi="Times New Roman" w:cs="Times New Roman"/>
          <w:b/>
        </w:rPr>
      </w:pPr>
      <w:r w:rsidRPr="008647B2">
        <w:rPr>
          <w:rFonts w:ascii="Times New Roman" w:hAnsi="Times New Roman" w:cs="Times New Roman"/>
          <w:b/>
        </w:rPr>
        <w:t>USC Campus Support and Intervention</w:t>
      </w:r>
    </w:p>
    <w:p w14:paraId="68D41D05" w14:textId="08B1E294" w:rsidR="00D67081" w:rsidRPr="008647B2" w:rsidRDefault="001A5026" w:rsidP="00EC4270">
      <w:pPr>
        <w:pStyle w:val="NoSpacing"/>
        <w:rPr>
          <w:rFonts w:ascii="Times New Roman" w:hAnsi="Times New Roman" w:cs="Times New Roman"/>
        </w:rPr>
      </w:pPr>
      <w:hyperlink r:id="rId39" w:history="1">
        <w:r w:rsidR="00D67081" w:rsidRPr="008647B2">
          <w:rPr>
            <w:rStyle w:val="Hyperlink"/>
            <w:rFonts w:ascii="Times New Roman" w:hAnsi="Times New Roman" w:cs="Times New Roman"/>
          </w:rPr>
          <w:t>https://campussupport.usc.edu/</w:t>
        </w:r>
      </w:hyperlink>
    </w:p>
    <w:p w14:paraId="79A88039" w14:textId="5FD0D04E"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Phone number (213) 821-4710</w:t>
      </w:r>
    </w:p>
    <w:p w14:paraId="504C0776"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8647B2" w:rsidRDefault="002E28D4" w:rsidP="002E28D4"/>
    <w:p w14:paraId="65C9FBB7" w14:textId="77777777" w:rsidR="002E28D4" w:rsidRPr="008647B2" w:rsidRDefault="002E28D4" w:rsidP="00EC4270">
      <w:pPr>
        <w:pStyle w:val="NoSpacing"/>
        <w:rPr>
          <w:rFonts w:ascii="Times New Roman" w:hAnsi="Times New Roman" w:cs="Times New Roman"/>
          <w:b/>
        </w:rPr>
      </w:pPr>
      <w:r w:rsidRPr="008647B2">
        <w:rPr>
          <w:rFonts w:ascii="Times New Roman" w:hAnsi="Times New Roman" w:cs="Times New Roman"/>
          <w:b/>
        </w:rPr>
        <w:t>Diversity at USC</w:t>
      </w:r>
    </w:p>
    <w:p w14:paraId="01E00A32" w14:textId="460D73A1" w:rsidR="00D67081" w:rsidRPr="008647B2" w:rsidRDefault="001A5026" w:rsidP="00EC4270">
      <w:pPr>
        <w:pStyle w:val="NoSpacing"/>
        <w:rPr>
          <w:rFonts w:ascii="Times New Roman" w:hAnsi="Times New Roman" w:cs="Times New Roman"/>
        </w:rPr>
      </w:pPr>
      <w:hyperlink r:id="rId40" w:history="1">
        <w:r w:rsidR="00D67081" w:rsidRPr="008647B2">
          <w:rPr>
            <w:rStyle w:val="Hyperlink"/>
            <w:rFonts w:ascii="Times New Roman" w:hAnsi="Times New Roman" w:cs="Times New Roman"/>
          </w:rPr>
          <w:t>https://diversity.usc.edu/</w:t>
        </w:r>
      </w:hyperlink>
    </w:p>
    <w:p w14:paraId="10CA7AB8" w14:textId="740F1686"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Phone number (213) 740-2101</w:t>
      </w:r>
    </w:p>
    <w:p w14:paraId="42D29326"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2363FC63" w14:textId="77777777" w:rsidR="002E28D4" w:rsidRPr="008647B2" w:rsidRDefault="002E28D4" w:rsidP="002E28D4"/>
    <w:p w14:paraId="4DD624CD" w14:textId="77777777" w:rsidR="002E28D4" w:rsidRPr="008647B2" w:rsidRDefault="002E28D4" w:rsidP="00EC4270">
      <w:pPr>
        <w:pStyle w:val="NoSpacing"/>
        <w:rPr>
          <w:rFonts w:ascii="Times New Roman" w:hAnsi="Times New Roman" w:cs="Times New Roman"/>
          <w:b/>
        </w:rPr>
      </w:pPr>
      <w:r w:rsidRPr="008647B2">
        <w:rPr>
          <w:rFonts w:ascii="Times New Roman" w:hAnsi="Times New Roman" w:cs="Times New Roman"/>
          <w:b/>
        </w:rPr>
        <w:t xml:space="preserve">USC Emergency </w:t>
      </w:r>
    </w:p>
    <w:p w14:paraId="31F9E236" w14:textId="02C869DB" w:rsidR="00D67081" w:rsidRPr="008647B2" w:rsidRDefault="001A5026" w:rsidP="00EC4270">
      <w:pPr>
        <w:pStyle w:val="NoSpacing"/>
        <w:rPr>
          <w:rFonts w:ascii="Times New Roman" w:hAnsi="Times New Roman" w:cs="Times New Roman"/>
        </w:rPr>
      </w:pPr>
      <w:hyperlink r:id="rId41" w:history="1">
        <w:r w:rsidR="00D67081" w:rsidRPr="008647B2">
          <w:rPr>
            <w:rStyle w:val="Hyperlink"/>
            <w:rFonts w:ascii="Times New Roman" w:hAnsi="Times New Roman" w:cs="Times New Roman"/>
          </w:rPr>
          <w:t>https://dps.usc.edu/</w:t>
        </w:r>
      </w:hyperlink>
    </w:p>
    <w:p w14:paraId="2B4EA736" w14:textId="78D8D896"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UPC phone number (213) 740-4321</w:t>
      </w:r>
    </w:p>
    <w:p w14:paraId="03719B30"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HSC phone number (323) 442-1000</w:t>
      </w:r>
    </w:p>
    <w:p w14:paraId="385B2860"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On call 24/7</w:t>
      </w:r>
    </w:p>
    <w:p w14:paraId="1C28BD99" w14:textId="77777777" w:rsidR="002E28D4" w:rsidRPr="008647B2" w:rsidRDefault="002E28D4" w:rsidP="00EC4270">
      <w:pPr>
        <w:pStyle w:val="NoSpacing"/>
        <w:rPr>
          <w:rFonts w:ascii="Times New Roman" w:hAnsi="Times New Roman" w:cs="Times New Roman"/>
        </w:rPr>
      </w:pPr>
      <w:r w:rsidRPr="008647B2">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8647B2" w:rsidRDefault="002E28D4" w:rsidP="002E28D4"/>
    <w:p w14:paraId="7679CFF1" w14:textId="77777777" w:rsidR="002E28D4" w:rsidRPr="008647B2" w:rsidRDefault="002E28D4" w:rsidP="000C6A36">
      <w:pPr>
        <w:pStyle w:val="NoSpacing"/>
        <w:rPr>
          <w:rFonts w:ascii="Times New Roman" w:hAnsi="Times New Roman" w:cs="Times New Roman"/>
          <w:b/>
        </w:rPr>
      </w:pPr>
      <w:r w:rsidRPr="008647B2">
        <w:rPr>
          <w:rFonts w:ascii="Times New Roman" w:hAnsi="Times New Roman" w:cs="Times New Roman"/>
          <w:b/>
        </w:rPr>
        <w:t>USC Department of Public Safety</w:t>
      </w:r>
    </w:p>
    <w:p w14:paraId="46B71621" w14:textId="3D127F4B" w:rsidR="00D67081" w:rsidRPr="008647B2" w:rsidRDefault="001A5026" w:rsidP="000C6A36">
      <w:pPr>
        <w:pStyle w:val="NoSpacing"/>
        <w:rPr>
          <w:rFonts w:ascii="Times New Roman" w:hAnsi="Times New Roman" w:cs="Times New Roman"/>
        </w:rPr>
      </w:pPr>
      <w:hyperlink r:id="rId42" w:history="1">
        <w:r w:rsidR="00D67081" w:rsidRPr="008647B2">
          <w:rPr>
            <w:rStyle w:val="Hyperlink"/>
            <w:rFonts w:ascii="Times New Roman" w:hAnsi="Times New Roman" w:cs="Times New Roman"/>
          </w:rPr>
          <w:t>https://dps.usc.edu/</w:t>
        </w:r>
      </w:hyperlink>
    </w:p>
    <w:p w14:paraId="3A2B47EA" w14:textId="43239279" w:rsidR="002E28D4" w:rsidRPr="008647B2" w:rsidRDefault="002E28D4" w:rsidP="000C6A36">
      <w:pPr>
        <w:pStyle w:val="NoSpacing"/>
        <w:rPr>
          <w:rFonts w:ascii="Times New Roman" w:hAnsi="Times New Roman" w:cs="Times New Roman"/>
        </w:rPr>
      </w:pPr>
      <w:r w:rsidRPr="008647B2">
        <w:rPr>
          <w:rFonts w:ascii="Times New Roman" w:hAnsi="Times New Roman" w:cs="Times New Roman"/>
        </w:rPr>
        <w:t>UPC phone number (213) 740-6000</w:t>
      </w:r>
    </w:p>
    <w:p w14:paraId="29729D1F" w14:textId="77777777" w:rsidR="002E28D4" w:rsidRPr="008647B2" w:rsidRDefault="002E28D4" w:rsidP="000C6A36">
      <w:pPr>
        <w:pStyle w:val="NoSpacing"/>
        <w:rPr>
          <w:rFonts w:ascii="Times New Roman" w:hAnsi="Times New Roman" w:cs="Times New Roman"/>
        </w:rPr>
      </w:pPr>
      <w:r w:rsidRPr="008647B2">
        <w:rPr>
          <w:rFonts w:ascii="Times New Roman" w:hAnsi="Times New Roman" w:cs="Times New Roman"/>
        </w:rPr>
        <w:t>HSC phone number (323) 442-120</w:t>
      </w:r>
    </w:p>
    <w:p w14:paraId="2D02822F" w14:textId="77777777" w:rsidR="002E28D4" w:rsidRPr="008647B2" w:rsidRDefault="002E28D4" w:rsidP="000C6A36">
      <w:pPr>
        <w:pStyle w:val="NoSpacing"/>
        <w:rPr>
          <w:rFonts w:ascii="Times New Roman" w:hAnsi="Times New Roman" w:cs="Times New Roman"/>
        </w:rPr>
      </w:pPr>
      <w:r w:rsidRPr="008647B2">
        <w:rPr>
          <w:rFonts w:ascii="Times New Roman" w:hAnsi="Times New Roman" w:cs="Times New Roman"/>
        </w:rPr>
        <w:t>On call 24/7</w:t>
      </w:r>
    </w:p>
    <w:p w14:paraId="3D166F55" w14:textId="5AEE4927" w:rsidR="002E28D4" w:rsidRPr="008647B2" w:rsidRDefault="002E28D4" w:rsidP="000C6A36">
      <w:pPr>
        <w:pStyle w:val="NoSpacing"/>
        <w:rPr>
          <w:rFonts w:ascii="Times New Roman" w:hAnsi="Times New Roman" w:cs="Times New Roman"/>
        </w:rPr>
      </w:pPr>
      <w:r w:rsidRPr="008647B2">
        <w:rPr>
          <w:rFonts w:ascii="Times New Roman" w:hAnsi="Times New Roman" w:cs="Times New Roman"/>
        </w:rPr>
        <w:t>Non-emergency assistance or information.</w:t>
      </w:r>
    </w:p>
    <w:p w14:paraId="02793EE1" w14:textId="006DEBD3" w:rsidR="000C6A36" w:rsidRPr="008647B2" w:rsidRDefault="000C6A36" w:rsidP="002E28D4"/>
    <w:p w14:paraId="13FCA5F8" w14:textId="3D31033D" w:rsidR="000C6A36" w:rsidRPr="008647B2" w:rsidRDefault="000C6A36" w:rsidP="002E28D4">
      <w:r w:rsidRPr="008647B2">
        <w:rPr>
          <w:b/>
          <w:color w:val="991B1E"/>
        </w:rPr>
        <w:t>Additional Resources</w:t>
      </w:r>
    </w:p>
    <w:p w14:paraId="1C55FDEC" w14:textId="6C353B8A" w:rsidR="000C6A36" w:rsidRPr="008647B2" w:rsidRDefault="000C6A36" w:rsidP="002E28D4">
      <w:r w:rsidRPr="008647B2">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8647B2" w:rsidSect="006F4B9D">
      <w:headerReference w:type="default" r:id="rId43"/>
      <w:footerReference w:type="default" r:id="rId44"/>
      <w:headerReference w:type="first" r:id="rId45"/>
      <w:footerReference w:type="firs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E8E9" w14:textId="77777777" w:rsidR="001A5026" w:rsidRDefault="001A5026" w:rsidP="00D50789">
      <w:r>
        <w:separator/>
      </w:r>
    </w:p>
  </w:endnote>
  <w:endnote w:type="continuationSeparator" w:id="0">
    <w:p w14:paraId="1E5A6475" w14:textId="77777777" w:rsidR="001A5026" w:rsidRDefault="001A5026" w:rsidP="00D5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13D933FB" w:rsidR="0094348C" w:rsidRPr="00F70E4C" w:rsidRDefault="008A1320">
    <w:pPr>
      <w:pStyle w:val="Footer"/>
      <w:rPr>
        <w:rFonts w:ascii="Times New Roman" w:hAnsi="Times New Roman" w:cs="Times New Roman"/>
      </w:rPr>
    </w:pPr>
    <w:r>
      <w:rPr>
        <w:rFonts w:ascii="Times New Roman" w:hAnsi="Times New Roman" w:cs="Times New Roman"/>
      </w:rPr>
      <w:t>Spring 2022</w:t>
    </w:r>
    <w:r w:rsidR="0094348C" w:rsidRPr="00F70E4C">
      <w:rPr>
        <w:rFonts w:ascii="Times New Roman" w:hAnsi="Times New Roman" w:cs="Times New Roman"/>
      </w:rPr>
      <w:ptab w:relativeTo="margin" w:alignment="center" w:leader="none"/>
    </w:r>
    <w:r w:rsidR="0094348C" w:rsidRPr="00F70E4C">
      <w:rPr>
        <w:rFonts w:ascii="Times New Roman" w:hAnsi="Times New Roman" w:cs="Times New Roman"/>
      </w:rPr>
      <w:ptab w:relativeTo="margin" w:alignment="right" w:leader="none"/>
    </w:r>
    <w:r w:rsidR="0094348C" w:rsidRPr="00F70E4C">
      <w:rPr>
        <w:rFonts w:ascii="Times New Roman" w:hAnsi="Times New Roman" w:cs="Times New Roman"/>
      </w:rPr>
      <w:t xml:space="preserve">Page </w:t>
    </w:r>
    <w:r w:rsidR="0094348C" w:rsidRPr="00F70E4C">
      <w:rPr>
        <w:rFonts w:ascii="Times New Roman" w:hAnsi="Times New Roman" w:cs="Times New Roman"/>
        <w:b/>
        <w:bCs/>
      </w:rPr>
      <w:fldChar w:fldCharType="begin"/>
    </w:r>
    <w:r w:rsidR="0094348C" w:rsidRPr="00F70E4C">
      <w:rPr>
        <w:rFonts w:ascii="Times New Roman" w:hAnsi="Times New Roman" w:cs="Times New Roman"/>
        <w:b/>
        <w:bCs/>
      </w:rPr>
      <w:instrText xml:space="preserve"> PAGE  \* Arabic  \* MERGEFORMAT </w:instrText>
    </w:r>
    <w:r w:rsidR="0094348C" w:rsidRPr="00F70E4C">
      <w:rPr>
        <w:rFonts w:ascii="Times New Roman" w:hAnsi="Times New Roman" w:cs="Times New Roman"/>
        <w:b/>
        <w:bCs/>
      </w:rPr>
      <w:fldChar w:fldCharType="separate"/>
    </w:r>
    <w:r w:rsidR="00F054C3">
      <w:rPr>
        <w:rFonts w:ascii="Times New Roman" w:hAnsi="Times New Roman" w:cs="Times New Roman"/>
        <w:b/>
        <w:bCs/>
        <w:noProof/>
      </w:rPr>
      <w:t>16</w:t>
    </w:r>
    <w:r w:rsidR="0094348C" w:rsidRPr="00F70E4C">
      <w:rPr>
        <w:rFonts w:ascii="Times New Roman" w:hAnsi="Times New Roman" w:cs="Times New Roman"/>
        <w:b/>
        <w:bCs/>
      </w:rPr>
      <w:fldChar w:fldCharType="end"/>
    </w:r>
    <w:r w:rsidR="0094348C" w:rsidRPr="00F70E4C">
      <w:rPr>
        <w:rFonts w:ascii="Times New Roman" w:hAnsi="Times New Roman" w:cs="Times New Roman"/>
      </w:rPr>
      <w:t xml:space="preserve"> of </w:t>
    </w:r>
    <w:r w:rsidR="0094348C" w:rsidRPr="00F70E4C">
      <w:rPr>
        <w:rFonts w:ascii="Times New Roman" w:hAnsi="Times New Roman" w:cs="Times New Roman"/>
        <w:b/>
        <w:bCs/>
      </w:rPr>
      <w:fldChar w:fldCharType="begin"/>
    </w:r>
    <w:r w:rsidR="0094348C" w:rsidRPr="00F70E4C">
      <w:rPr>
        <w:rFonts w:ascii="Times New Roman" w:hAnsi="Times New Roman" w:cs="Times New Roman"/>
        <w:b/>
        <w:bCs/>
      </w:rPr>
      <w:instrText xml:space="preserve"> NUMPAGES  \* Arabic  \* MERGEFORMAT </w:instrText>
    </w:r>
    <w:r w:rsidR="0094348C" w:rsidRPr="00F70E4C">
      <w:rPr>
        <w:rFonts w:ascii="Times New Roman" w:hAnsi="Times New Roman" w:cs="Times New Roman"/>
        <w:b/>
        <w:bCs/>
      </w:rPr>
      <w:fldChar w:fldCharType="separate"/>
    </w:r>
    <w:r w:rsidR="00F054C3">
      <w:rPr>
        <w:rFonts w:ascii="Times New Roman" w:hAnsi="Times New Roman" w:cs="Times New Roman"/>
        <w:b/>
        <w:bCs/>
        <w:noProof/>
      </w:rPr>
      <w:t>16</w:t>
    </w:r>
    <w:r w:rsidR="0094348C"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4B2D9CC5" w:rsidR="0094348C" w:rsidRPr="00B9300D" w:rsidRDefault="008A1320">
    <w:pPr>
      <w:pStyle w:val="Footer"/>
      <w:rPr>
        <w:rFonts w:ascii="Times New Roman" w:hAnsi="Times New Roman" w:cs="Times New Roman"/>
      </w:rPr>
    </w:pPr>
    <w:r>
      <w:rPr>
        <w:rFonts w:ascii="Times New Roman" w:hAnsi="Times New Roman" w:cs="Times New Roman"/>
      </w:rPr>
      <w:t>Spring 2022</w:t>
    </w:r>
    <w:r w:rsidR="0094348C" w:rsidRPr="00B9300D">
      <w:rPr>
        <w:rFonts w:ascii="Times New Roman" w:hAnsi="Times New Roman" w:cs="Times New Roman"/>
      </w:rPr>
      <w:ptab w:relativeTo="margin" w:alignment="center" w:leader="none"/>
    </w:r>
    <w:r w:rsidR="0094348C" w:rsidRPr="00B9300D">
      <w:rPr>
        <w:rFonts w:ascii="Times New Roman" w:hAnsi="Times New Roman" w:cs="Times New Roman"/>
      </w:rPr>
      <w:ptab w:relativeTo="margin" w:alignment="right" w:leader="none"/>
    </w:r>
    <w:r w:rsidR="0094348C" w:rsidRPr="00B9300D">
      <w:rPr>
        <w:rFonts w:ascii="Times New Roman" w:hAnsi="Times New Roman" w:cs="Times New Roman"/>
      </w:rPr>
      <w:t xml:space="preserve">Page </w:t>
    </w:r>
    <w:r w:rsidR="0094348C" w:rsidRPr="00B9300D">
      <w:rPr>
        <w:rFonts w:ascii="Times New Roman" w:hAnsi="Times New Roman" w:cs="Times New Roman"/>
        <w:b/>
        <w:bCs/>
      </w:rPr>
      <w:fldChar w:fldCharType="begin"/>
    </w:r>
    <w:r w:rsidR="0094348C" w:rsidRPr="00B9300D">
      <w:rPr>
        <w:rFonts w:ascii="Times New Roman" w:hAnsi="Times New Roman" w:cs="Times New Roman"/>
        <w:b/>
        <w:bCs/>
      </w:rPr>
      <w:instrText xml:space="preserve"> PAGE  \* Arabic  \* MERGEFORMAT </w:instrText>
    </w:r>
    <w:r w:rsidR="0094348C" w:rsidRPr="00B9300D">
      <w:rPr>
        <w:rFonts w:ascii="Times New Roman" w:hAnsi="Times New Roman" w:cs="Times New Roman"/>
        <w:b/>
        <w:bCs/>
      </w:rPr>
      <w:fldChar w:fldCharType="separate"/>
    </w:r>
    <w:r w:rsidR="00F054C3">
      <w:rPr>
        <w:rFonts w:ascii="Times New Roman" w:hAnsi="Times New Roman" w:cs="Times New Roman"/>
        <w:b/>
        <w:bCs/>
        <w:noProof/>
      </w:rPr>
      <w:t>1</w:t>
    </w:r>
    <w:r w:rsidR="0094348C" w:rsidRPr="00B9300D">
      <w:rPr>
        <w:rFonts w:ascii="Times New Roman" w:hAnsi="Times New Roman" w:cs="Times New Roman"/>
        <w:b/>
        <w:bCs/>
      </w:rPr>
      <w:fldChar w:fldCharType="end"/>
    </w:r>
    <w:r w:rsidR="0094348C" w:rsidRPr="00B9300D">
      <w:rPr>
        <w:rFonts w:ascii="Times New Roman" w:hAnsi="Times New Roman" w:cs="Times New Roman"/>
      </w:rPr>
      <w:t xml:space="preserve"> of </w:t>
    </w:r>
    <w:r w:rsidR="0094348C" w:rsidRPr="00B9300D">
      <w:rPr>
        <w:rFonts w:ascii="Times New Roman" w:hAnsi="Times New Roman" w:cs="Times New Roman"/>
        <w:b/>
        <w:bCs/>
      </w:rPr>
      <w:fldChar w:fldCharType="begin"/>
    </w:r>
    <w:r w:rsidR="0094348C" w:rsidRPr="00B9300D">
      <w:rPr>
        <w:rFonts w:ascii="Times New Roman" w:hAnsi="Times New Roman" w:cs="Times New Roman"/>
        <w:b/>
        <w:bCs/>
      </w:rPr>
      <w:instrText xml:space="preserve"> NUMPAGES  \* Arabic  \* MERGEFORMAT </w:instrText>
    </w:r>
    <w:r w:rsidR="0094348C" w:rsidRPr="00B9300D">
      <w:rPr>
        <w:rFonts w:ascii="Times New Roman" w:hAnsi="Times New Roman" w:cs="Times New Roman"/>
        <w:b/>
        <w:bCs/>
      </w:rPr>
      <w:fldChar w:fldCharType="separate"/>
    </w:r>
    <w:r w:rsidR="00F054C3">
      <w:rPr>
        <w:rFonts w:ascii="Times New Roman" w:hAnsi="Times New Roman" w:cs="Times New Roman"/>
        <w:b/>
        <w:bCs/>
        <w:noProof/>
      </w:rPr>
      <w:t>16</w:t>
    </w:r>
    <w:r w:rsidR="0094348C"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D148" w14:textId="77777777" w:rsidR="001A5026" w:rsidRDefault="001A5026" w:rsidP="00D50789">
      <w:r>
        <w:separator/>
      </w:r>
    </w:p>
  </w:footnote>
  <w:footnote w:type="continuationSeparator" w:id="0">
    <w:p w14:paraId="4209C0EB" w14:textId="77777777" w:rsidR="001A5026" w:rsidRDefault="001A5026" w:rsidP="00D5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1A2C2F0B" w:rsidR="0094348C" w:rsidRDefault="0094348C">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1ECA10C8" w:rsidR="0094348C" w:rsidRDefault="0094348C">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2BE"/>
    <w:multiLevelType w:val="hybridMultilevel"/>
    <w:tmpl w:val="84B8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Symbo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Symbo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Symbol"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2810A2B"/>
    <w:multiLevelType w:val="hybridMultilevel"/>
    <w:tmpl w:val="A6D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D603E"/>
    <w:multiLevelType w:val="hybridMultilevel"/>
    <w:tmpl w:val="D72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86835"/>
    <w:multiLevelType w:val="hybridMultilevel"/>
    <w:tmpl w:val="1658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3281D"/>
    <w:multiLevelType w:val="hybridMultilevel"/>
    <w:tmpl w:val="1136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274DE"/>
    <w:multiLevelType w:val="hybridMultilevel"/>
    <w:tmpl w:val="5A34D9C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6EC54E39"/>
    <w:multiLevelType w:val="hybridMultilevel"/>
    <w:tmpl w:val="48D47142"/>
    <w:lvl w:ilvl="0" w:tplc="873ECB2E">
      <w:start w:val="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95162"/>
    <w:multiLevelType w:val="hybridMultilevel"/>
    <w:tmpl w:val="E51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3"/>
  </w:num>
  <w:num w:numId="5">
    <w:abstractNumId w:val="4"/>
  </w:num>
  <w:num w:numId="6">
    <w:abstractNumId w:val="5"/>
  </w:num>
  <w:num w:numId="7">
    <w:abstractNumId w:val="12"/>
  </w:num>
  <w:num w:numId="8">
    <w:abstractNumId w:val="9"/>
  </w:num>
  <w:num w:numId="9">
    <w:abstractNumId w:val="17"/>
  </w:num>
  <w:num w:numId="10">
    <w:abstractNumId w:val="15"/>
  </w:num>
  <w:num w:numId="11">
    <w:abstractNumId w:val="10"/>
  </w:num>
  <w:num w:numId="12">
    <w:abstractNumId w:val="8"/>
  </w:num>
  <w:num w:numId="13">
    <w:abstractNumId w:val="2"/>
  </w:num>
  <w:num w:numId="14">
    <w:abstractNumId w:val="7"/>
  </w:num>
  <w:num w:numId="15">
    <w:abstractNumId w:val="14"/>
  </w:num>
  <w:num w:numId="16">
    <w:abstractNumId w:val="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A7"/>
    <w:rsid w:val="00076084"/>
    <w:rsid w:val="0008696E"/>
    <w:rsid w:val="000C6A36"/>
    <w:rsid w:val="00124137"/>
    <w:rsid w:val="00180E82"/>
    <w:rsid w:val="00181CD6"/>
    <w:rsid w:val="001A449D"/>
    <w:rsid w:val="001A5026"/>
    <w:rsid w:val="001D282E"/>
    <w:rsid w:val="001D3EAB"/>
    <w:rsid w:val="00236EC6"/>
    <w:rsid w:val="00295652"/>
    <w:rsid w:val="002D4DA2"/>
    <w:rsid w:val="002E28D4"/>
    <w:rsid w:val="003027F7"/>
    <w:rsid w:val="003028B4"/>
    <w:rsid w:val="00327AC6"/>
    <w:rsid w:val="00331553"/>
    <w:rsid w:val="003563AB"/>
    <w:rsid w:val="003B26AE"/>
    <w:rsid w:val="003C3E88"/>
    <w:rsid w:val="003F4593"/>
    <w:rsid w:val="004424B2"/>
    <w:rsid w:val="004446DB"/>
    <w:rsid w:val="00464ACE"/>
    <w:rsid w:val="004B49C4"/>
    <w:rsid w:val="004B52C7"/>
    <w:rsid w:val="004D5BBC"/>
    <w:rsid w:val="00545F10"/>
    <w:rsid w:val="005A1EB6"/>
    <w:rsid w:val="005B2FB8"/>
    <w:rsid w:val="00680556"/>
    <w:rsid w:val="006B76EE"/>
    <w:rsid w:val="006F4B9D"/>
    <w:rsid w:val="00796D1A"/>
    <w:rsid w:val="007C630E"/>
    <w:rsid w:val="007D3B8A"/>
    <w:rsid w:val="008647B2"/>
    <w:rsid w:val="0088469D"/>
    <w:rsid w:val="008A1320"/>
    <w:rsid w:val="008C1A02"/>
    <w:rsid w:val="008D0334"/>
    <w:rsid w:val="0090035E"/>
    <w:rsid w:val="0094348C"/>
    <w:rsid w:val="00971AF4"/>
    <w:rsid w:val="009963CA"/>
    <w:rsid w:val="009A540E"/>
    <w:rsid w:val="009B429C"/>
    <w:rsid w:val="009F53C9"/>
    <w:rsid w:val="00A154F7"/>
    <w:rsid w:val="00A45949"/>
    <w:rsid w:val="00A7177B"/>
    <w:rsid w:val="00AA7148"/>
    <w:rsid w:val="00B130CA"/>
    <w:rsid w:val="00B22EB9"/>
    <w:rsid w:val="00B629DA"/>
    <w:rsid w:val="00B74BC7"/>
    <w:rsid w:val="00B771C6"/>
    <w:rsid w:val="00B9300D"/>
    <w:rsid w:val="00BA53FB"/>
    <w:rsid w:val="00BE30E3"/>
    <w:rsid w:val="00C05231"/>
    <w:rsid w:val="00C23DFB"/>
    <w:rsid w:val="00C36C0D"/>
    <w:rsid w:val="00CA6C51"/>
    <w:rsid w:val="00CC1094"/>
    <w:rsid w:val="00D50789"/>
    <w:rsid w:val="00D67081"/>
    <w:rsid w:val="00EC1FBF"/>
    <w:rsid w:val="00EC4270"/>
    <w:rsid w:val="00ED1B16"/>
    <w:rsid w:val="00EE2F8D"/>
    <w:rsid w:val="00F054C3"/>
    <w:rsid w:val="00F360A7"/>
    <w:rsid w:val="00F70E4C"/>
    <w:rsid w:val="00F81B37"/>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BB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A53FB"/>
    <w:pPr>
      <w:keepNext/>
      <w:spacing w:after="220"/>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qFormat/>
    <w:rsid w:val="00BA53FB"/>
    <w:pPr>
      <w:spacing w:after="240"/>
    </w:pPr>
    <w:rPr>
      <w:rFonts w:ascii="Arial" w:hAnsi="Arial"/>
      <w:sz w:val="20"/>
    </w:rPr>
  </w:style>
  <w:style w:type="character" w:customStyle="1" w:styleId="BodyTextChar">
    <w:name w:val="Body Text Char"/>
    <w:basedOn w:val="DefaultParagraphFont"/>
    <w:link w:val="BodyText"/>
    <w:rsid w:val="00BA53FB"/>
    <w:rPr>
      <w:rFonts w:ascii="Arial" w:eastAsia="Times New Roman" w:hAnsi="Arial" w:cs="Times New Roman"/>
      <w:sz w:val="20"/>
      <w:szCs w:val="24"/>
    </w:rPr>
  </w:style>
  <w:style w:type="paragraph" w:customStyle="1" w:styleId="ColorfulList-Accent11">
    <w:name w:val="Colorful List - Accent 11"/>
    <w:basedOn w:val="Normal"/>
    <w:uiPriority w:val="34"/>
    <w:qFormat/>
    <w:rsid w:val="00BA53FB"/>
    <w:pPr>
      <w:ind w:left="720"/>
    </w:pPr>
    <w:rPr>
      <w:rFonts w:ascii="Arial" w:hAnsi="Arial"/>
    </w:rPr>
  </w:style>
  <w:style w:type="character" w:customStyle="1" w:styleId="Heading2Char">
    <w:name w:val="Heading 2 Char"/>
    <w:basedOn w:val="DefaultParagraphFont"/>
    <w:link w:val="Heading2"/>
    <w:rsid w:val="00BA53FB"/>
    <w:rPr>
      <w:rFonts w:ascii="Arial" w:eastAsia="Times New Roman" w:hAnsi="Arial" w:cs="Times New Roman"/>
      <w:b/>
      <w:bCs/>
      <w:sz w:val="24"/>
      <w:szCs w:val="24"/>
    </w:rPr>
  </w:style>
  <w:style w:type="paragraph" w:customStyle="1" w:styleId="xmsonormal">
    <w:name w:val="xmsonormal"/>
    <w:basedOn w:val="Normal"/>
    <w:rsid w:val="00680556"/>
    <w:pPr>
      <w:spacing w:before="100" w:beforeAutospacing="1" w:after="100" w:afterAutospacing="1"/>
    </w:pPr>
  </w:style>
  <w:style w:type="paragraph" w:customStyle="1" w:styleId="xmsolistparagraph">
    <w:name w:val="xmsolistparagraph"/>
    <w:basedOn w:val="Normal"/>
    <w:rsid w:val="00680556"/>
    <w:pPr>
      <w:spacing w:before="100" w:beforeAutospacing="1" w:after="100" w:afterAutospacing="1"/>
    </w:pPr>
  </w:style>
  <w:style w:type="character" w:customStyle="1" w:styleId="apple-converted-space">
    <w:name w:val="apple-converted-space"/>
    <w:basedOn w:val="DefaultParagraphFont"/>
    <w:rsid w:val="00680556"/>
  </w:style>
  <w:style w:type="character" w:customStyle="1" w:styleId="None">
    <w:name w:val="None"/>
    <w:rsid w:val="003563AB"/>
  </w:style>
  <w:style w:type="paragraph" w:customStyle="1" w:styleId="Level3">
    <w:name w:val="Level 3"/>
    <w:basedOn w:val="ColorfulList-Accent11"/>
    <w:qFormat/>
    <w:rsid w:val="003563AB"/>
    <w:pPr>
      <w:numPr>
        <w:numId w:val="13"/>
      </w:numPr>
      <w:tabs>
        <w:tab w:val="left" w:pos="990"/>
      </w:tabs>
      <w:ind w:left="972" w:hanging="27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3502">
      <w:bodyDiv w:val="1"/>
      <w:marLeft w:val="0"/>
      <w:marRight w:val="0"/>
      <w:marTop w:val="0"/>
      <w:marBottom w:val="0"/>
      <w:divBdr>
        <w:top w:val="none" w:sz="0" w:space="0" w:color="auto"/>
        <w:left w:val="none" w:sz="0" w:space="0" w:color="auto"/>
        <w:bottom w:val="none" w:sz="0" w:space="0" w:color="auto"/>
        <w:right w:val="none" w:sz="0" w:space="0" w:color="auto"/>
      </w:divBdr>
    </w:div>
    <w:div w:id="912618574">
      <w:bodyDiv w:val="1"/>
      <w:marLeft w:val="0"/>
      <w:marRight w:val="0"/>
      <w:marTop w:val="0"/>
      <w:marBottom w:val="0"/>
      <w:divBdr>
        <w:top w:val="none" w:sz="0" w:space="0" w:color="auto"/>
        <w:left w:val="none" w:sz="0" w:space="0" w:color="auto"/>
        <w:bottom w:val="none" w:sz="0" w:space="0" w:color="auto"/>
        <w:right w:val="none" w:sz="0" w:space="0" w:color="auto"/>
      </w:divBdr>
    </w:div>
    <w:div w:id="1396926816">
      <w:bodyDiv w:val="1"/>
      <w:marLeft w:val="0"/>
      <w:marRight w:val="0"/>
      <w:marTop w:val="0"/>
      <w:marBottom w:val="0"/>
      <w:divBdr>
        <w:top w:val="none" w:sz="0" w:space="0" w:color="auto"/>
        <w:left w:val="none" w:sz="0" w:space="0" w:color="auto"/>
        <w:bottom w:val="none" w:sz="0" w:space="0" w:color="auto"/>
        <w:right w:val="none" w:sz="0" w:space="0" w:color="auto"/>
      </w:divBdr>
    </w:div>
    <w:div w:id="20086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wl.english.purdue.edu/owl/resource/560/01/" TargetMode="External"/><Relationship Id="rId18" Type="http://schemas.openxmlformats.org/officeDocument/2006/relationships/hyperlink" Target="http://www.financenet.gov" TargetMode="External"/><Relationship Id="rId26" Type="http://schemas.openxmlformats.org/officeDocument/2006/relationships/hyperlink" Target="http://www.primacentral.org" TargetMode="External"/><Relationship Id="rId39" Type="http://schemas.openxmlformats.org/officeDocument/2006/relationships/hyperlink" Target="https://campussupport.usc.edu/" TargetMode="External"/><Relationship Id="rId21" Type="http://schemas.openxmlformats.org/officeDocument/2006/relationships/hyperlink" Target="http://www.ssireview.org" TargetMode="External"/><Relationship Id="rId34" Type="http://schemas.openxmlformats.org/officeDocument/2006/relationships/hyperlink" Target="https://suicidepreventionlifeline.org/" TargetMode="External"/><Relationship Id="rId42" Type="http://schemas.openxmlformats.org/officeDocument/2006/relationships/hyperlink" Target="https://dps.usc.edu/"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sphsa.org" TargetMode="External"/><Relationship Id="rId29" Type="http://schemas.openxmlformats.org/officeDocument/2006/relationships/hyperlink" Target="https://grandchallengesforsocialwor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endly.com/annalisaenrile/dsw-advisory-mtg" TargetMode="External"/><Relationship Id="rId24" Type="http://schemas.openxmlformats.org/officeDocument/2006/relationships/hyperlink" Target="http://www.wallacefoundation.org" TargetMode="External"/><Relationship Id="rId32" Type="http://schemas.openxmlformats.org/officeDocument/2006/relationships/hyperlink" Target="https://www.socialworkers.org/About/Ethics/Code-of-Ethics/Code-of-Ethics-English" TargetMode="External"/><Relationship Id="rId37" Type="http://schemas.openxmlformats.org/officeDocument/2006/relationships/hyperlink" Target="https://usc-advocate.symplicity.com/care_report/index.php/pid422659" TargetMode="External"/><Relationship Id="rId40" Type="http://schemas.openxmlformats.org/officeDocument/2006/relationships/hyperlink" Target="https://diversity.usc.edu/"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aaahg.org" TargetMode="External"/><Relationship Id="rId23" Type="http://schemas.openxmlformats.org/officeDocument/2006/relationships/hyperlink" Target="http://www.councilofnonprofits" TargetMode="External"/><Relationship Id="rId28" Type="http://schemas.openxmlformats.org/officeDocument/2006/relationships/hyperlink" Target="https://www.cswe.org/getattachment/Accreditation/Accreditation-Process/2015-EPAS/2015EPAS_Web_FINAL.pdf.aspx" TargetMode="External"/><Relationship Id="rId36" Type="http://schemas.openxmlformats.org/officeDocument/2006/relationships/hyperlink" Target="https://eeotix.usc.edu/" TargetMode="External"/><Relationship Id="rId10" Type="http://schemas.openxmlformats.org/officeDocument/2006/relationships/hyperlink" Target="mailto:enrile@usc.edu" TargetMode="External"/><Relationship Id="rId19" Type="http://schemas.openxmlformats.org/officeDocument/2006/relationships/hyperlink" Target="http://www.fdncenter.org" TargetMode="External"/><Relationship Id="rId31" Type="http://schemas.openxmlformats.org/officeDocument/2006/relationships/hyperlink" Target="https://dworakpeck.usc.edu/student-life/student-resources"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edu/student%20affairs/student-conduct/ug_plag.htm" TargetMode="External"/><Relationship Id="rId22" Type="http://schemas.openxmlformats.org/officeDocument/2006/relationships/hyperlink" Target="http://www.nonprofitcpas.com" TargetMode="External"/><Relationship Id="rId27" Type="http://schemas.openxmlformats.org/officeDocument/2006/relationships/hyperlink" Target="https://www.socialworkers.org/About/Ethics/Code-of-Ethics/Code-of-Ethics-English" TargetMode="External"/><Relationship Id="rId30" Type="http://schemas.openxmlformats.org/officeDocument/2006/relationships/hyperlink" Target="https://policy.usc.edu/scampus/" TargetMode="External"/><Relationship Id="rId35" Type="http://schemas.openxmlformats.org/officeDocument/2006/relationships/hyperlink" Target="https://studenthealth.usc.edu/sexual-assault/"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trojancheck.usc.edu/" TargetMode="External"/><Relationship Id="rId17" Type="http://schemas.openxmlformats.org/officeDocument/2006/relationships/hyperlink" Target="http://www.fpdf.org" TargetMode="External"/><Relationship Id="rId25" Type="http://schemas.openxmlformats.org/officeDocument/2006/relationships/hyperlink" Target="http://www.npgmag.org" TargetMode="External"/><Relationship Id="rId33" Type="http://schemas.openxmlformats.org/officeDocument/2006/relationships/hyperlink" Target="https://studenthealth.usc.edu/counseling/" TargetMode="External"/><Relationship Id="rId38" Type="http://schemas.openxmlformats.org/officeDocument/2006/relationships/hyperlink" Target="https://dsp.usc.edu/" TargetMode="External"/><Relationship Id="rId46" Type="http://schemas.openxmlformats.org/officeDocument/2006/relationships/footer" Target="footer2.xml"/><Relationship Id="rId20" Type="http://schemas.openxmlformats.org/officeDocument/2006/relationships/hyperlink" Target="http://www.fdncenter.org" TargetMode="External"/><Relationship Id="rId41" Type="http://schemas.openxmlformats.org/officeDocument/2006/relationships/hyperlink" Target="https://dp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4834</Words>
  <Characters>27556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Annalisa V. Enrile</cp:lastModifiedBy>
  <cp:revision>4</cp:revision>
  <dcterms:created xsi:type="dcterms:W3CDTF">2022-01-05T06:37:00Z</dcterms:created>
  <dcterms:modified xsi:type="dcterms:W3CDTF">2022-01-05T06:46:00Z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