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B787" w14:textId="77777777" w:rsidR="002E647C" w:rsidRDefault="002E647C" w:rsidP="00D50789">
      <w:pPr>
        <w:jc w:val="center"/>
        <w:rPr>
          <w:rFonts w:ascii="Times New Roman" w:hAnsi="Times New Roman" w:cs="Times New Roman"/>
          <w:b/>
        </w:rPr>
      </w:pPr>
    </w:p>
    <w:p w14:paraId="1EFBA2C9" w14:textId="4477FA00" w:rsidR="00C23DFB" w:rsidRPr="002E647C" w:rsidRDefault="00D50789" w:rsidP="00D50789">
      <w:pPr>
        <w:jc w:val="center"/>
        <w:rPr>
          <w:rFonts w:ascii="Times New Roman" w:hAnsi="Times New Roman" w:cs="Times New Roman"/>
          <w:sz w:val="36"/>
          <w:szCs w:val="36"/>
        </w:rPr>
      </w:pPr>
      <w:r w:rsidRPr="002E647C">
        <w:rPr>
          <w:rFonts w:ascii="Times New Roman" w:hAnsi="Times New Roman" w:cs="Times New Roman"/>
          <w:b/>
          <w:sz w:val="36"/>
          <w:szCs w:val="36"/>
        </w:rPr>
        <w:t xml:space="preserve">Social Work </w:t>
      </w:r>
      <w:r w:rsidR="00497B3C" w:rsidRPr="002E647C">
        <w:rPr>
          <w:rFonts w:ascii="Times New Roman" w:hAnsi="Times New Roman" w:cs="Times New Roman"/>
          <w:b/>
          <w:sz w:val="36"/>
          <w:szCs w:val="36"/>
        </w:rPr>
        <w:t>536</w:t>
      </w:r>
    </w:p>
    <w:p w14:paraId="5D9AF3BC" w14:textId="4EEE22CF" w:rsidR="00D50789" w:rsidRPr="00497B3C" w:rsidRDefault="00D50789" w:rsidP="00D50789">
      <w:pPr>
        <w:jc w:val="center"/>
        <w:rPr>
          <w:rFonts w:ascii="Times New Roman" w:hAnsi="Times New Roman" w:cs="Times New Roman"/>
          <w:b/>
          <w:color w:val="C00000"/>
        </w:rPr>
      </w:pPr>
      <w:r w:rsidRPr="00497B3C">
        <w:rPr>
          <w:rFonts w:ascii="Times New Roman" w:hAnsi="Times New Roman" w:cs="Times New Roman"/>
          <w:b/>
          <w:color w:val="C00000"/>
        </w:rPr>
        <w:t>Section</w:t>
      </w:r>
      <w:r w:rsidR="003D1088">
        <w:rPr>
          <w:rFonts w:ascii="Times New Roman" w:hAnsi="Times New Roman" w:cs="Times New Roman"/>
          <w:b/>
          <w:color w:val="C00000"/>
        </w:rPr>
        <w:t xml:space="preserve"> 60</w:t>
      </w:r>
      <w:r w:rsidR="00C75497">
        <w:rPr>
          <w:rFonts w:ascii="Times New Roman" w:hAnsi="Times New Roman" w:cs="Times New Roman"/>
          <w:b/>
          <w:color w:val="C00000"/>
        </w:rPr>
        <w:t>789</w:t>
      </w:r>
    </w:p>
    <w:p w14:paraId="72AFB025" w14:textId="77E06B3E" w:rsidR="00497B3C" w:rsidRPr="002E647C" w:rsidRDefault="00497B3C" w:rsidP="00497B3C">
      <w:pPr>
        <w:jc w:val="center"/>
        <w:rPr>
          <w:rFonts w:ascii="Times New Roman" w:hAnsi="Times New Roman" w:cs="Times New Roman"/>
          <w:b/>
          <w:sz w:val="28"/>
          <w:szCs w:val="28"/>
        </w:rPr>
      </w:pPr>
      <w:r w:rsidRPr="002E647C">
        <w:rPr>
          <w:rFonts w:ascii="Times New Roman" w:hAnsi="Times New Roman" w:cs="Times New Roman"/>
          <w:b/>
          <w:sz w:val="28"/>
          <w:szCs w:val="28"/>
        </w:rPr>
        <w:t>POLICY AND ADVOCACY IN PROFESSIONAL SOCIAL WORK</w:t>
      </w:r>
    </w:p>
    <w:p w14:paraId="5905670A" w14:textId="77777777" w:rsidR="00497B3C" w:rsidRPr="002E647C" w:rsidRDefault="00497B3C" w:rsidP="00497B3C">
      <w:pPr>
        <w:jc w:val="center"/>
        <w:rPr>
          <w:rFonts w:ascii="Times New Roman" w:hAnsi="Times New Roman" w:cs="Times New Roman"/>
          <w:b/>
          <w:sz w:val="24"/>
          <w:szCs w:val="24"/>
        </w:rPr>
      </w:pPr>
      <w:r w:rsidRPr="002E647C">
        <w:rPr>
          <w:rFonts w:ascii="Times New Roman" w:hAnsi="Times New Roman" w:cs="Times New Roman"/>
          <w:b/>
          <w:sz w:val="24"/>
          <w:szCs w:val="24"/>
        </w:rPr>
        <w:t>3 Units</w:t>
      </w:r>
    </w:p>
    <w:p w14:paraId="3F4EBE2E" w14:textId="6DB49EF0" w:rsidR="00497B3C" w:rsidRPr="000C72C1" w:rsidRDefault="00497B3C" w:rsidP="00497B3C">
      <w:pPr>
        <w:jc w:val="center"/>
        <w:rPr>
          <w:rFonts w:ascii="Times New Roman" w:hAnsi="Times New Roman" w:cs="Times New Roman"/>
          <w:b/>
          <w:color w:val="C00000"/>
          <w:sz w:val="24"/>
          <w:szCs w:val="24"/>
        </w:rPr>
      </w:pPr>
      <w:r w:rsidRPr="000C72C1">
        <w:rPr>
          <w:rFonts w:ascii="Times New Roman" w:hAnsi="Times New Roman" w:cs="Times New Roman"/>
          <w:b/>
          <w:color w:val="C00000"/>
          <w:sz w:val="24"/>
          <w:szCs w:val="24"/>
        </w:rPr>
        <w:t>It is easier to spend a few months and some money electing the right people</w:t>
      </w:r>
      <w:r w:rsidR="00675934">
        <w:rPr>
          <w:rFonts w:ascii="Times New Roman" w:hAnsi="Times New Roman" w:cs="Times New Roman"/>
          <w:b/>
          <w:color w:val="C00000"/>
          <w:sz w:val="24"/>
          <w:szCs w:val="24"/>
        </w:rPr>
        <w:t>,</w:t>
      </w:r>
      <w:r w:rsidRPr="000C72C1">
        <w:rPr>
          <w:rFonts w:ascii="Times New Roman" w:hAnsi="Times New Roman" w:cs="Times New Roman"/>
          <w:b/>
          <w:color w:val="C00000"/>
          <w:sz w:val="24"/>
          <w:szCs w:val="24"/>
        </w:rPr>
        <w:t xml:space="preserve"> than to spend years and a lot of money trying to get the wrong people to do the right things.</w:t>
      </w:r>
    </w:p>
    <w:p w14:paraId="031EFC2D" w14:textId="474DC14A" w:rsidR="00D50789" w:rsidRPr="000C72C1" w:rsidRDefault="00497B3C" w:rsidP="00497B3C">
      <w:pPr>
        <w:jc w:val="center"/>
        <w:rPr>
          <w:rFonts w:ascii="Times New Roman" w:hAnsi="Times New Roman" w:cs="Times New Roman"/>
          <w:b/>
          <w:color w:val="C00000"/>
          <w:sz w:val="24"/>
          <w:szCs w:val="24"/>
        </w:rPr>
      </w:pPr>
      <w:r w:rsidRPr="000C72C1">
        <w:rPr>
          <w:rFonts w:ascii="Times New Roman" w:hAnsi="Times New Roman" w:cs="Times New Roman"/>
          <w:b/>
          <w:color w:val="C00000"/>
          <w:sz w:val="24"/>
          <w:szCs w:val="24"/>
        </w:rPr>
        <w:t>—Senator Debbie Stabenow, MSW</w:t>
      </w:r>
    </w:p>
    <w:p w14:paraId="481365AE" w14:textId="796FE076" w:rsidR="00D50789" w:rsidRDefault="00497B3C" w:rsidP="00D50789">
      <w:pPr>
        <w:jc w:val="center"/>
        <w:rPr>
          <w:rFonts w:ascii="Times New Roman" w:hAnsi="Times New Roman" w:cs="Times New Roman"/>
          <w:b/>
          <w:i/>
        </w:rPr>
      </w:pPr>
      <w:r>
        <w:rPr>
          <w:rFonts w:ascii="Times New Roman" w:hAnsi="Times New Roman" w:cs="Times New Roman"/>
          <w:b/>
          <w:i/>
        </w:rPr>
        <w:t xml:space="preserve">FALL 2021 </w:t>
      </w:r>
    </w:p>
    <w:p w14:paraId="7799E97F" w14:textId="656F0CF6" w:rsidR="003D1088" w:rsidRDefault="003D1088" w:rsidP="003D1088">
      <w:pPr>
        <w:autoSpaceDE w:val="0"/>
        <w:autoSpaceDN w:val="0"/>
        <w:adjustRightInd w:val="0"/>
        <w:spacing w:after="120"/>
        <w:ind w:left="1440" w:firstLine="720"/>
        <w:rPr>
          <w:rFonts w:cs="Arial"/>
          <w:b/>
          <w:smallCaps/>
          <w:color w:val="000000" w:themeColor="text1"/>
        </w:rPr>
      </w:pPr>
      <w:r w:rsidRPr="00603208">
        <w:rPr>
          <w:rFonts w:cs="Arial"/>
          <w:b/>
          <w:smallCaps/>
          <w:color w:val="000000" w:themeColor="text1"/>
        </w:rPr>
        <w:t xml:space="preserve">Instructor: </w:t>
      </w:r>
      <w:r w:rsidRPr="007069C0">
        <w:rPr>
          <w:rFonts w:cs="Arial"/>
          <w:b/>
          <w:smallCaps/>
          <w:color w:val="0070C0"/>
        </w:rPr>
        <w:t xml:space="preserve">Steve Gratwick, </w:t>
      </w:r>
      <w:r>
        <w:rPr>
          <w:rFonts w:cs="Arial"/>
          <w:b/>
          <w:smallCaps/>
          <w:color w:val="0070C0"/>
        </w:rPr>
        <w:t xml:space="preserve">MSW, </w:t>
      </w:r>
      <w:r w:rsidRPr="007069C0">
        <w:rPr>
          <w:rFonts w:cs="Arial"/>
          <w:b/>
          <w:smallCaps/>
          <w:color w:val="0070C0"/>
        </w:rPr>
        <w:t>LCSW</w:t>
      </w:r>
      <w:r>
        <w:rPr>
          <w:rFonts w:cs="Arial"/>
          <w:b/>
          <w:smallCaps/>
          <w:color w:val="000000" w:themeColor="text1"/>
        </w:rPr>
        <w:tab/>
        <w:t xml:space="preserve">Course Day: </w:t>
      </w:r>
      <w:r>
        <w:rPr>
          <w:rFonts w:cs="Arial"/>
          <w:b/>
          <w:smallCaps/>
          <w:color w:val="0070C0"/>
        </w:rPr>
        <w:t>Thursday</w:t>
      </w:r>
    </w:p>
    <w:p w14:paraId="669FA971" w14:textId="2ED9710B" w:rsidR="003D1088" w:rsidRDefault="003D1088" w:rsidP="003D1088">
      <w:pPr>
        <w:autoSpaceDE w:val="0"/>
        <w:autoSpaceDN w:val="0"/>
        <w:adjustRightInd w:val="0"/>
        <w:spacing w:after="120"/>
        <w:ind w:left="1440" w:firstLine="720"/>
        <w:rPr>
          <w:rFonts w:cs="Arial"/>
          <w:b/>
          <w:smallCaps/>
          <w:color w:val="000000" w:themeColor="text1"/>
        </w:rPr>
      </w:pPr>
      <w:r>
        <w:rPr>
          <w:rFonts w:cs="Arial"/>
          <w:b/>
          <w:smallCaps/>
          <w:color w:val="000000" w:themeColor="text1"/>
        </w:rPr>
        <w:t xml:space="preserve">Email: </w:t>
      </w:r>
      <w:r w:rsidRPr="007069C0">
        <w:rPr>
          <w:rFonts w:cs="Arial"/>
          <w:b/>
          <w:smallCaps/>
          <w:color w:val="2F5496" w:themeColor="accent1" w:themeShade="BF"/>
        </w:rPr>
        <w:t xml:space="preserve"> </w:t>
      </w:r>
      <w:hyperlink r:id="rId10" w:history="1">
        <w:r w:rsidRPr="007069C0">
          <w:rPr>
            <w:rStyle w:val="Hyperlink"/>
            <w:rFonts w:cs="Arial"/>
            <w:b/>
            <w:smallCaps/>
            <w:color w:val="2F5496" w:themeColor="accent1" w:themeShade="BF"/>
          </w:rPr>
          <w:t>gratwick@usc.edu</w:t>
        </w:r>
      </w:hyperlink>
      <w:r>
        <w:rPr>
          <w:rFonts w:cs="Arial"/>
          <w:b/>
          <w:smallCaps/>
          <w:color w:val="000000" w:themeColor="text1"/>
        </w:rPr>
        <w:tab/>
      </w:r>
      <w:r>
        <w:rPr>
          <w:rFonts w:cs="Arial"/>
          <w:b/>
          <w:smallCaps/>
          <w:color w:val="000000" w:themeColor="text1"/>
        </w:rPr>
        <w:tab/>
      </w:r>
      <w:r>
        <w:rPr>
          <w:rFonts w:cs="Arial"/>
          <w:b/>
          <w:smallCaps/>
          <w:color w:val="000000" w:themeColor="text1"/>
        </w:rPr>
        <w:tab/>
        <w:t xml:space="preserve">Course Time: </w:t>
      </w:r>
      <w:r w:rsidR="00B55DC4">
        <w:rPr>
          <w:rFonts w:cs="Arial"/>
          <w:b/>
          <w:smallCaps/>
          <w:color w:val="0070C0"/>
        </w:rPr>
        <w:t>1-3:50</w:t>
      </w:r>
      <w:r>
        <w:rPr>
          <w:rFonts w:cs="Arial"/>
          <w:b/>
          <w:smallCaps/>
          <w:color w:val="0070C0"/>
        </w:rPr>
        <w:t>pm</w:t>
      </w:r>
    </w:p>
    <w:p w14:paraId="16343B14" w14:textId="77777777" w:rsidR="003D1088" w:rsidRPr="007069C0" w:rsidRDefault="003D1088" w:rsidP="003D1088">
      <w:pPr>
        <w:autoSpaceDE w:val="0"/>
        <w:autoSpaceDN w:val="0"/>
        <w:adjustRightInd w:val="0"/>
        <w:spacing w:after="120"/>
        <w:ind w:left="1440" w:firstLine="720"/>
        <w:rPr>
          <w:rFonts w:cs="Arial"/>
          <w:b/>
          <w:smallCaps/>
          <w:color w:val="0070C0"/>
        </w:rPr>
      </w:pPr>
      <w:r>
        <w:rPr>
          <w:rFonts w:cs="Arial"/>
          <w:b/>
          <w:smallCaps/>
          <w:color w:val="000000" w:themeColor="text1"/>
        </w:rPr>
        <w:t xml:space="preserve">Telephone: </w:t>
      </w:r>
      <w:r w:rsidRPr="007069C0">
        <w:rPr>
          <w:rFonts w:cs="Arial"/>
          <w:b/>
          <w:smallCaps/>
          <w:color w:val="0070C0"/>
        </w:rPr>
        <w:t>323-371-5380</w:t>
      </w:r>
      <w:r>
        <w:rPr>
          <w:rFonts w:cs="Arial"/>
          <w:b/>
          <w:smallCaps/>
          <w:color w:val="000000" w:themeColor="text1"/>
        </w:rPr>
        <w:tab/>
      </w:r>
      <w:r>
        <w:rPr>
          <w:rFonts w:cs="Arial"/>
          <w:b/>
          <w:smallCaps/>
          <w:color w:val="000000" w:themeColor="text1"/>
        </w:rPr>
        <w:tab/>
      </w:r>
      <w:r>
        <w:rPr>
          <w:rFonts w:cs="Arial"/>
          <w:b/>
          <w:smallCaps/>
          <w:color w:val="000000" w:themeColor="text1"/>
        </w:rPr>
        <w:tab/>
        <w:t xml:space="preserve"> </w:t>
      </w:r>
      <w:r>
        <w:rPr>
          <w:rFonts w:cs="Arial"/>
          <w:b/>
          <w:smallCaps/>
          <w:color w:val="000000" w:themeColor="text1"/>
        </w:rPr>
        <w:tab/>
      </w:r>
    </w:p>
    <w:p w14:paraId="6CCB3EBC" w14:textId="77777777" w:rsidR="003D1088" w:rsidRDefault="003D1088" w:rsidP="003D1088">
      <w:pPr>
        <w:autoSpaceDE w:val="0"/>
        <w:autoSpaceDN w:val="0"/>
        <w:adjustRightInd w:val="0"/>
        <w:spacing w:after="120"/>
        <w:ind w:left="1440" w:firstLine="720"/>
        <w:rPr>
          <w:rFonts w:cs="Arial"/>
          <w:b/>
          <w:smallCaps/>
          <w:color w:val="000000" w:themeColor="text1"/>
        </w:rPr>
      </w:pPr>
      <w:r>
        <w:rPr>
          <w:rFonts w:cs="Arial"/>
          <w:b/>
          <w:smallCaps/>
          <w:color w:val="000000" w:themeColor="text1"/>
        </w:rPr>
        <w:t xml:space="preserve">Office Hours:  </w:t>
      </w:r>
      <w:r w:rsidRPr="007069C0">
        <w:rPr>
          <w:rFonts w:cs="Arial"/>
          <w:b/>
          <w:smallCaps/>
          <w:color w:val="0070C0"/>
        </w:rPr>
        <w:t>By Appointment</w:t>
      </w:r>
    </w:p>
    <w:p w14:paraId="4C32B5A5" w14:textId="77777777" w:rsidR="003D1088" w:rsidRPr="00EF4A06" w:rsidRDefault="003D1088" w:rsidP="003D1088">
      <w:pPr>
        <w:spacing w:after="0" w:line="240" w:lineRule="auto"/>
        <w:rPr>
          <w:rFonts w:asciiTheme="majorHAnsi" w:eastAsia="Times New Roman" w:hAnsiTheme="majorHAnsi" w:cs="Arial"/>
          <w:color w:val="808080" w:themeColor="background1" w:themeShade="80"/>
        </w:rPr>
      </w:pPr>
    </w:p>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14:paraId="5E50FB76" w14:textId="1538DF66" w:rsidR="00D50789" w:rsidRDefault="008E4107" w:rsidP="00D50789">
      <w:pPr>
        <w:rPr>
          <w:rFonts w:ascii="Times New Roman" w:hAnsi="Times New Roman" w:cs="Times New Roman"/>
        </w:rPr>
      </w:pPr>
      <w:r w:rsidRPr="008E4107">
        <w:rPr>
          <w:rFonts w:ascii="Times New Roman" w:hAnsi="Times New Roman" w:cs="Times New Roman"/>
        </w:rPr>
        <w:t>Policy and Advocacy in Professional Social Work (SOWK 536) is built upon a liberal arts undergraduate foundation.  Students are expected to have a basic understanding of how American government works at the local, state and national levels, and a rudimentary familiarity with the existence of social welfare policies.</w:t>
      </w:r>
    </w:p>
    <w:p w14:paraId="60AF3EFA" w14:textId="13C88F2C" w:rsidR="00BE30E3" w:rsidRDefault="00D50789" w:rsidP="00BE30E3">
      <w:pPr>
        <w:rPr>
          <w:rFonts w:ascii="Times New Roman" w:hAnsi="Times New Roman" w:cs="Times New Roman"/>
        </w:rPr>
      </w:pPr>
      <w:r>
        <w:rPr>
          <w:rFonts w:ascii="Times New Roman" w:hAnsi="Times New Roman" w:cs="Times New Roman"/>
          <w:b/>
          <w:color w:val="991B1E"/>
        </w:rPr>
        <w:t>Catalogue Description</w:t>
      </w:r>
    </w:p>
    <w:p w14:paraId="1029377F" w14:textId="03EE4024" w:rsidR="008E4107" w:rsidRDefault="008E4107" w:rsidP="00BE30E3">
      <w:pPr>
        <w:rPr>
          <w:rFonts w:ascii="Times New Roman" w:hAnsi="Times New Roman" w:cs="Times New Roman"/>
        </w:rPr>
      </w:pPr>
      <w:r w:rsidRPr="008E4107">
        <w:rPr>
          <w:rFonts w:ascii="Times New Roman" w:hAnsi="Times New Roman" w:cs="Times New Roman"/>
        </w:rPr>
        <w:t xml:space="preserve">Social workers practice within complex and interconnecting systems of policy, programs and communities that directly and indirectly impact their clients’ lives. This course studies and assesses the impact of anti-poverty programs, security-building insurance systems, and opportunity-creating public policies on clients seeking to navigate within and across these systems, and on the social worker’s role therein, at the programmatic, community and state-wide levels.  </w:t>
      </w:r>
    </w:p>
    <w:p w14:paraId="5A2BB542" w14:textId="3B5B60DD"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14:paraId="3BD744D7" w14:textId="77777777" w:rsidR="008E4107" w:rsidRPr="008E4107" w:rsidRDefault="008E4107" w:rsidP="008E4107">
      <w:pPr>
        <w:rPr>
          <w:rFonts w:ascii="Times New Roman" w:hAnsi="Times New Roman" w:cs="Times New Roman"/>
        </w:rPr>
      </w:pPr>
      <w:r w:rsidRPr="008E4107">
        <w:rPr>
          <w:rFonts w:ascii="Times New Roman" w:hAnsi="Times New Roman" w:cs="Times New Roman"/>
        </w:rPr>
        <w:t xml:space="preserve">This course provides a substantive understanding of the American social welfare policies and programs developed and implemented by all levels of government that seek to limit poverty, provide security and create opportunity for people, families and communities. These programs, systems, and policies will be assessed for their adequacy, effectiveness and fairness. Advocacy efforts – past and present – will be explored and even joined in some of these subject areas. </w:t>
      </w:r>
    </w:p>
    <w:p w14:paraId="4C78B144" w14:textId="77777777" w:rsidR="008E4107" w:rsidRPr="008E4107" w:rsidRDefault="008E4107" w:rsidP="008E4107">
      <w:pPr>
        <w:rPr>
          <w:rFonts w:ascii="Times New Roman" w:hAnsi="Times New Roman" w:cs="Times New Roman"/>
        </w:rPr>
      </w:pPr>
      <w:r w:rsidRPr="008E4107">
        <w:rPr>
          <w:rFonts w:ascii="Times New Roman" w:hAnsi="Times New Roman" w:cs="Times New Roman"/>
        </w:rPr>
        <w:t xml:space="preserve">The course will also help develop students’ analytic, writing and presentation skills, which are crucial for successful social work practice across the systems, funding streams and communities that make up </w:t>
      </w:r>
      <w:r w:rsidRPr="008E4107">
        <w:rPr>
          <w:rFonts w:ascii="Times New Roman" w:hAnsi="Times New Roman" w:cs="Times New Roman"/>
        </w:rPr>
        <w:lastRenderedPageBreak/>
        <w:t xml:space="preserve">America.  The course seeks to inspire students to develop a case-level, program-level and macro-level policy advocacy orientation, so that – regardless of their professional specialization – USC graduates will be motivated to redress social and economic injustice and empower less advantaged groups. </w:t>
      </w:r>
    </w:p>
    <w:p w14:paraId="4D354A48" w14:textId="77777777" w:rsidR="008E4107" w:rsidRPr="008E4107" w:rsidRDefault="008E4107" w:rsidP="008E4107">
      <w:pPr>
        <w:rPr>
          <w:rFonts w:ascii="Times New Roman" w:hAnsi="Times New Roman" w:cs="Times New Roman"/>
        </w:rPr>
      </w:pPr>
      <w:r w:rsidRPr="002A0843">
        <w:rPr>
          <w:rFonts w:ascii="Times New Roman" w:hAnsi="Times New Roman" w:cs="Times New Roman"/>
          <w:u w:val="single"/>
        </w:rPr>
        <w:t>This course is divided into three modules</w:t>
      </w:r>
      <w:r w:rsidRPr="008E4107">
        <w:rPr>
          <w:rFonts w:ascii="Times New Roman" w:hAnsi="Times New Roman" w:cs="Times New Roman"/>
        </w:rPr>
        <w:t xml:space="preserve">: (1) the first module examines and assesses programs seeking to alleviate poverty, such as the Earned Income Tax Credit, TANF, food stamps, and Medicaid; (2) the second module studies how America uses various social insurances to create and reinforce family and community-level security, and includes focuses on Social Security, Unemployment and Disability insurances, and Medicare (including the impacts thereon of the Affordable Care Act); and (3) the third module examines how our society seeks to create opportunity through its education, progressive taxation, and other systems.  Each of these modules focuses on understanding the policy decisions, financing, program implementation and advocacy interventions creating and impacting these various programs, and the role social workers have within and across them. </w:t>
      </w:r>
    </w:p>
    <w:p w14:paraId="3B9FC877" w14:textId="106F7810" w:rsidR="00B9300D" w:rsidRDefault="008E4107" w:rsidP="008E4107">
      <w:pPr>
        <w:rPr>
          <w:rFonts w:ascii="Times New Roman" w:hAnsi="Times New Roman" w:cs="Times New Roman"/>
        </w:rPr>
      </w:pPr>
      <w:r w:rsidRPr="008E4107">
        <w:rPr>
          <w:rFonts w:ascii="Times New Roman" w:hAnsi="Times New Roman" w:cs="Times New Roman"/>
        </w:rPr>
        <w:t>SOWK 536 provides a foundation for concentration-specific courses across the clinical and policy arenas, in which students can apply their knowledge, analysis and skill to develop specific improvements across sectors.</w:t>
      </w:r>
    </w:p>
    <w:p w14:paraId="1DD67965" w14:textId="41B65E64"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p w14:paraId="0A405134" w14:textId="77777777" w:rsidR="008E4107" w:rsidRPr="008E4107" w:rsidRDefault="008E4107" w:rsidP="008E4107">
      <w:pPr>
        <w:spacing w:before="100" w:beforeAutospacing="1" w:after="100" w:afterAutospacing="1" w:line="276" w:lineRule="auto"/>
        <w:rPr>
          <w:rFonts w:ascii="Calibri" w:eastAsia="Times New Roman" w:hAnsi="Calibri" w:cs="Calibri"/>
          <w:color w:val="000000"/>
          <w:shd w:val="clear" w:color="auto" w:fill="FFFFFF"/>
        </w:rPr>
      </w:pPr>
      <w:r w:rsidRPr="008E4107">
        <w:rPr>
          <w:rFonts w:ascii="Calibri" w:eastAsia="Times New Roman" w:hAnsi="Calibri" w:cs="Calibri"/>
          <w:color w:val="000000"/>
          <w:shd w:val="clear" w:color="auto" w:fill="FFFFFF"/>
        </w:rPr>
        <w:t>Students in the Policy and Advocacy in Professional Social Work course (SOWK 536)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8E4107" w:rsidRPr="008E4107" w14:paraId="1153307D" w14:textId="77777777" w:rsidTr="00C21F24">
        <w:trPr>
          <w:cantSplit/>
          <w:tblHeader/>
        </w:trPr>
        <w:tc>
          <w:tcPr>
            <w:tcW w:w="1368" w:type="dxa"/>
            <w:tcBorders>
              <w:top w:val="single" w:sz="8" w:space="0" w:color="C0504D"/>
              <w:bottom w:val="single" w:sz="8" w:space="0" w:color="C0504D"/>
            </w:tcBorders>
            <w:shd w:val="clear" w:color="auto" w:fill="C00000"/>
          </w:tcPr>
          <w:p w14:paraId="6077FF5F" w14:textId="77777777" w:rsidR="008E4107" w:rsidRPr="008E4107" w:rsidRDefault="008E4107" w:rsidP="008E4107">
            <w:pPr>
              <w:keepNext/>
              <w:spacing w:after="200" w:line="276" w:lineRule="auto"/>
              <w:rPr>
                <w:rFonts w:ascii="Times New Roman" w:eastAsia="Times New Roman" w:hAnsi="Times New Roman" w:cs="Times New Roman"/>
                <w:b/>
                <w:bCs/>
                <w:color w:val="FFFFFF"/>
              </w:rPr>
            </w:pPr>
            <w:r w:rsidRPr="008E4107">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14:paraId="768CC44A" w14:textId="77777777" w:rsidR="008E4107" w:rsidRPr="008E4107" w:rsidRDefault="008E4107" w:rsidP="008E4107">
            <w:pPr>
              <w:keepNext/>
              <w:spacing w:after="200" w:line="276" w:lineRule="auto"/>
              <w:rPr>
                <w:rFonts w:ascii="Times New Roman" w:eastAsia="Times New Roman" w:hAnsi="Times New Roman" w:cs="Times New Roman"/>
                <w:b/>
                <w:bCs/>
                <w:color w:val="FFFFFF"/>
              </w:rPr>
            </w:pPr>
            <w:r w:rsidRPr="008E4107">
              <w:rPr>
                <w:rFonts w:ascii="Times New Roman" w:eastAsia="Times New Roman" w:hAnsi="Times New Roman" w:cs="Times New Roman"/>
                <w:b/>
                <w:color w:val="FFFFFF"/>
              </w:rPr>
              <w:t>Objectives</w:t>
            </w:r>
          </w:p>
        </w:tc>
      </w:tr>
      <w:tr w:rsidR="008E4107" w:rsidRPr="008E4107" w14:paraId="17C5AB0D" w14:textId="77777777" w:rsidTr="00C21F24">
        <w:trPr>
          <w:cantSplit/>
        </w:trPr>
        <w:tc>
          <w:tcPr>
            <w:tcW w:w="1368" w:type="dxa"/>
            <w:tcBorders>
              <w:top w:val="single" w:sz="8" w:space="0" w:color="C0504D"/>
              <w:bottom w:val="single" w:sz="8" w:space="0" w:color="C0504D"/>
            </w:tcBorders>
          </w:tcPr>
          <w:p w14:paraId="3F77EA93" w14:textId="77777777" w:rsidR="008E4107" w:rsidRPr="008E4107" w:rsidRDefault="008E4107" w:rsidP="008E4107">
            <w:pPr>
              <w:spacing w:after="200" w:line="276" w:lineRule="auto"/>
              <w:jc w:val="center"/>
              <w:rPr>
                <w:rFonts w:ascii="Times New Roman" w:eastAsia="Times New Roman" w:hAnsi="Times New Roman" w:cs="Times New Roman"/>
                <w:bCs/>
                <w:sz w:val="24"/>
                <w:szCs w:val="24"/>
              </w:rPr>
            </w:pPr>
            <w:r w:rsidRPr="008E4107">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14:paraId="766EE7F5" w14:textId="77777777" w:rsidR="008E4107" w:rsidRPr="008E4107" w:rsidRDefault="008E4107" w:rsidP="008E4107">
            <w:pPr>
              <w:spacing w:before="100" w:beforeAutospacing="1" w:after="100" w:afterAutospacing="1" w:line="276" w:lineRule="auto"/>
              <w:rPr>
                <w:rFonts w:ascii="Times New Roman" w:eastAsia="Times New Roman" w:hAnsi="Times New Roman" w:cs="Times New Roman"/>
                <w:bCs/>
                <w:sz w:val="24"/>
                <w:szCs w:val="24"/>
              </w:rPr>
            </w:pPr>
            <w:r w:rsidRPr="008E4107">
              <w:rPr>
                <w:rFonts w:ascii="Calibri" w:eastAsia="Times New Roman" w:hAnsi="Calibri" w:cs="Calibri"/>
                <w:color w:val="000000"/>
                <w:shd w:val="clear" w:color="auto" w:fill="FFFFFF"/>
              </w:rPr>
              <w:t>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tc>
      </w:tr>
      <w:tr w:rsidR="008E4107" w:rsidRPr="008E4107" w14:paraId="54E53074" w14:textId="77777777" w:rsidTr="00C21F24">
        <w:trPr>
          <w:cantSplit/>
        </w:trPr>
        <w:tc>
          <w:tcPr>
            <w:tcW w:w="1368" w:type="dxa"/>
            <w:tcBorders>
              <w:top w:val="single" w:sz="8" w:space="0" w:color="C0504D"/>
              <w:bottom w:val="single" w:sz="8" w:space="0" w:color="C0504D"/>
            </w:tcBorders>
          </w:tcPr>
          <w:p w14:paraId="153FCDBE" w14:textId="77777777" w:rsidR="008E4107" w:rsidRPr="008E4107" w:rsidRDefault="008E4107" w:rsidP="008E4107">
            <w:pPr>
              <w:spacing w:after="200" w:line="276" w:lineRule="auto"/>
              <w:jc w:val="center"/>
              <w:rPr>
                <w:rFonts w:ascii="Times New Roman" w:eastAsia="Times New Roman" w:hAnsi="Times New Roman" w:cs="Times New Roman"/>
                <w:sz w:val="24"/>
                <w:szCs w:val="24"/>
              </w:rPr>
            </w:pPr>
            <w:r w:rsidRPr="008E4107">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14:paraId="4BC4B875" w14:textId="77777777" w:rsidR="008E4107" w:rsidRPr="008E4107" w:rsidRDefault="008E4107" w:rsidP="008E4107">
            <w:pPr>
              <w:spacing w:before="100" w:beforeAutospacing="1" w:after="100" w:afterAutospacing="1" w:line="276" w:lineRule="auto"/>
              <w:rPr>
                <w:rFonts w:ascii="Times New Roman" w:eastAsia="Times New Roman" w:hAnsi="Times New Roman" w:cs="Times New Roman"/>
                <w:color w:val="0070C0"/>
                <w:sz w:val="24"/>
                <w:szCs w:val="24"/>
              </w:rPr>
            </w:pPr>
            <w:r w:rsidRPr="008E4107">
              <w:rPr>
                <w:rFonts w:ascii="Calibri" w:eastAsia="Times New Roman" w:hAnsi="Calibri" w:cs="Calibri"/>
                <w:shd w:val="clear" w:color="auto" w:fill="FFFFFF"/>
              </w:rPr>
              <w:t>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tc>
      </w:tr>
      <w:tr w:rsidR="008E4107" w:rsidRPr="008E4107" w14:paraId="176AC4A2" w14:textId="77777777" w:rsidTr="00C21F24">
        <w:trPr>
          <w:cantSplit/>
        </w:trPr>
        <w:tc>
          <w:tcPr>
            <w:tcW w:w="1368" w:type="dxa"/>
            <w:tcBorders>
              <w:top w:val="single" w:sz="8" w:space="0" w:color="C0504D"/>
              <w:bottom w:val="single" w:sz="8" w:space="0" w:color="C0504D"/>
            </w:tcBorders>
          </w:tcPr>
          <w:p w14:paraId="7780A4B5" w14:textId="77777777" w:rsidR="008E4107" w:rsidRPr="008E4107" w:rsidRDefault="008E4107" w:rsidP="008E4107">
            <w:pPr>
              <w:spacing w:after="200" w:line="276" w:lineRule="auto"/>
              <w:jc w:val="center"/>
              <w:rPr>
                <w:rFonts w:ascii="Times New Roman" w:eastAsia="Times New Roman" w:hAnsi="Times New Roman" w:cs="Times New Roman"/>
                <w:sz w:val="24"/>
                <w:szCs w:val="24"/>
              </w:rPr>
            </w:pPr>
            <w:r w:rsidRPr="008E4107">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14:paraId="1D3BBA67" w14:textId="77777777" w:rsidR="008E4107" w:rsidRPr="008E4107" w:rsidRDefault="008E4107" w:rsidP="008E4107">
            <w:pPr>
              <w:spacing w:before="100" w:beforeAutospacing="1" w:after="100" w:afterAutospacing="1" w:line="276" w:lineRule="auto"/>
              <w:rPr>
                <w:rFonts w:ascii="Times New Roman" w:eastAsia="Times New Roman" w:hAnsi="Times New Roman" w:cs="Times New Roman"/>
                <w:sz w:val="24"/>
                <w:szCs w:val="24"/>
              </w:rPr>
            </w:pPr>
            <w:r w:rsidRPr="008E4107">
              <w:rPr>
                <w:rFonts w:ascii="Calibri" w:eastAsia="Times New Roman" w:hAnsi="Calibri" w:cs="Calibri"/>
                <w:color w:val="000000"/>
                <w:shd w:val="clear" w:color="auto" w:fill="FFFFFF"/>
              </w:rPr>
              <w:t>Effectively advocate for services, rights, social justice, and equal protection for and with individuals, groups, and/or communities.</w:t>
            </w:r>
            <w:r w:rsidRPr="008E4107">
              <w:rPr>
                <w:rFonts w:ascii="Calibri" w:eastAsia="Times New Roman" w:hAnsi="Calibri" w:cs="Calibri"/>
                <w:shd w:val="clear" w:color="auto" w:fill="FFFFFF"/>
              </w:rPr>
              <w:t xml:space="preserve">  In preparation for their advocacy work, students will also p</w:t>
            </w:r>
            <w:r w:rsidRPr="008E4107">
              <w:rPr>
                <w:rFonts w:ascii="Calibri" w:eastAsia="Times New Roman" w:hAnsi="Calibri" w:cs="Calibri"/>
                <w:color w:val="000000"/>
                <w:shd w:val="clear" w:color="auto" w:fill="FFFFFF"/>
              </w:rPr>
              <w:t>roactively identify common, repetitive and predictable problems across multiple practice settings and substantive issue areas that could trigger potential advocacy interventions.</w:t>
            </w:r>
            <w:r w:rsidRPr="008E4107">
              <w:rPr>
                <w:rFonts w:ascii="Calibri" w:eastAsia="Times New Roman" w:hAnsi="Calibri" w:cs="Calibri"/>
                <w:shd w:val="clear" w:color="auto" w:fill="FFFFFF"/>
              </w:rPr>
              <w:t xml:space="preserve"> </w:t>
            </w:r>
          </w:p>
        </w:tc>
      </w:tr>
      <w:tr w:rsidR="008E4107" w:rsidRPr="008E4107" w14:paraId="31EE76BB" w14:textId="77777777" w:rsidTr="00C21F24">
        <w:trPr>
          <w:cantSplit/>
        </w:trPr>
        <w:tc>
          <w:tcPr>
            <w:tcW w:w="1368" w:type="dxa"/>
            <w:tcBorders>
              <w:top w:val="single" w:sz="8" w:space="0" w:color="C0504D"/>
              <w:bottom w:val="single" w:sz="8" w:space="0" w:color="C0504D"/>
            </w:tcBorders>
          </w:tcPr>
          <w:p w14:paraId="76062BB4" w14:textId="77777777" w:rsidR="008E4107" w:rsidRPr="008E4107" w:rsidRDefault="008E4107" w:rsidP="008E4107">
            <w:pPr>
              <w:spacing w:after="200" w:line="276" w:lineRule="auto"/>
              <w:jc w:val="center"/>
              <w:rPr>
                <w:rFonts w:ascii="Times New Roman" w:eastAsia="Times New Roman" w:hAnsi="Times New Roman" w:cs="Times New Roman"/>
                <w:sz w:val="24"/>
                <w:szCs w:val="24"/>
              </w:rPr>
            </w:pPr>
            <w:r w:rsidRPr="008E4107">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14:paraId="65C782B6" w14:textId="77777777" w:rsidR="008E4107" w:rsidRPr="008E4107" w:rsidRDefault="008E4107" w:rsidP="008E4107">
            <w:pPr>
              <w:spacing w:before="100" w:beforeAutospacing="1" w:after="100" w:afterAutospacing="1" w:line="276" w:lineRule="auto"/>
              <w:rPr>
                <w:rFonts w:ascii="Times New Roman" w:eastAsia="Times New Roman" w:hAnsi="Times New Roman" w:cs="Times New Roman"/>
                <w:sz w:val="24"/>
                <w:szCs w:val="24"/>
              </w:rPr>
            </w:pPr>
            <w:r w:rsidRPr="008E4107">
              <w:rPr>
                <w:rFonts w:ascii="Calibri" w:eastAsia="Times New Roman" w:hAnsi="Calibri" w:cs="Calibri"/>
                <w:color w:val="000000"/>
                <w:shd w:val="clear" w:color="auto" w:fill="FFFFFF"/>
              </w:rPr>
              <w:t xml:space="preserve">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8E4107">
              <w:rPr>
                <w:rFonts w:ascii="Calibri" w:eastAsia="Times New Roman" w:hAnsi="Calibri" w:cs="Calibri"/>
                <w:shd w:val="clear" w:color="auto" w:fill="FFFFFF"/>
              </w:rPr>
              <w:t xml:space="preserve"> </w:t>
            </w:r>
          </w:p>
        </w:tc>
      </w:tr>
      <w:tr w:rsidR="008E4107" w:rsidRPr="008E4107" w14:paraId="1983B340" w14:textId="77777777" w:rsidTr="00C21F24">
        <w:trPr>
          <w:cantSplit/>
        </w:trPr>
        <w:tc>
          <w:tcPr>
            <w:tcW w:w="1368" w:type="dxa"/>
            <w:tcBorders>
              <w:top w:val="single" w:sz="8" w:space="0" w:color="C0504D"/>
              <w:bottom w:val="single" w:sz="8" w:space="0" w:color="C0504D"/>
            </w:tcBorders>
          </w:tcPr>
          <w:p w14:paraId="244DAC04" w14:textId="77777777" w:rsidR="008E4107" w:rsidRPr="008E4107" w:rsidRDefault="008E4107" w:rsidP="008E4107">
            <w:pPr>
              <w:spacing w:after="200" w:line="276" w:lineRule="auto"/>
              <w:jc w:val="center"/>
              <w:rPr>
                <w:rFonts w:ascii="Times New Roman" w:eastAsia="Times New Roman" w:hAnsi="Times New Roman" w:cs="Times New Roman"/>
                <w:sz w:val="24"/>
                <w:szCs w:val="24"/>
              </w:rPr>
            </w:pPr>
            <w:r w:rsidRPr="008E4107">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14:paraId="52CCE540" w14:textId="77777777" w:rsidR="008E4107" w:rsidRPr="008E4107" w:rsidRDefault="008E4107" w:rsidP="008E4107">
            <w:pPr>
              <w:spacing w:before="100" w:beforeAutospacing="1" w:after="100" w:afterAutospacing="1" w:line="276" w:lineRule="auto"/>
              <w:rPr>
                <w:rFonts w:ascii="Times New Roman" w:eastAsia="Times New Roman" w:hAnsi="Times New Roman" w:cs="Times New Roman"/>
                <w:sz w:val="24"/>
                <w:szCs w:val="24"/>
              </w:rPr>
            </w:pPr>
            <w:r w:rsidRPr="008E4107">
              <w:rPr>
                <w:rFonts w:ascii="Calibri" w:eastAsia="Times New Roman" w:hAnsi="Calibri" w:cs="Calibri"/>
                <w:color w:val="000000"/>
                <w:shd w:val="clear" w:color="auto" w:fill="FFFFFF"/>
              </w:rPr>
              <w:t xml:space="preserve">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r>
    </w:tbl>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46C7D56A" w14:textId="3E698A92" w:rsidR="007D3B8A" w:rsidRDefault="008E4107" w:rsidP="00295652">
      <w:pPr>
        <w:rPr>
          <w:rFonts w:ascii="Times New Roman" w:hAnsi="Times New Roman" w:cs="Times New Roman"/>
        </w:rPr>
      </w:pPr>
      <w:r w:rsidRPr="008E4107">
        <w:rPr>
          <w:rFonts w:ascii="Times New Roman" w:hAnsi="Times New Roman" w:cs="Times New Roman"/>
        </w:rPr>
        <w:t>This class will include a variety of teaching/learning modalities. The instructor will provide lectures, with particular focus on faculty area of expertise; and classes will also be interactive, with students encouraged to discuss their ideas and experiences. Selected sessions will feature videos, in-class exercises, and/or speakers to illustrate the topics under examination. Material from the field and individual faculty-practitioner expertise will be used to integrate theory and intention with practice and impacts. As class discussion is an integral part of the learning process, students are expected to come to class ready to discuss the required readings, and its application to theory and practice.</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4ED05894" w:rsidR="004424B2" w:rsidRDefault="008E4107" w:rsidP="004424B2">
            <w:pPr>
              <w:jc w:val="center"/>
              <w:rPr>
                <w:rFonts w:ascii="Times New Roman" w:hAnsi="Times New Roman" w:cs="Times New Roman"/>
              </w:rPr>
            </w:pPr>
            <w:r>
              <w:rPr>
                <w:rFonts w:ascii="Times New Roman" w:hAnsi="Times New Roman" w:cs="Times New Roman"/>
              </w:rPr>
              <w:t>*</w:t>
            </w: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360024A2" w:rsidR="004424B2" w:rsidRDefault="004424B2" w:rsidP="008E4107">
            <w:pPr>
              <w:rPr>
                <w:rFonts w:ascii="Times New Roman" w:hAnsi="Times New Roman" w:cs="Times New Roman"/>
              </w:rPr>
            </w:pPr>
            <w:r>
              <w:rPr>
                <w:rFonts w:ascii="Times New Roman" w:hAnsi="Times New Roman" w:cs="Times New Roman"/>
              </w:rPr>
              <w:t>Demonstrate ethical and professional behavior</w:t>
            </w:r>
            <w:r w:rsidR="008E4107">
              <w:rPr>
                <w:rFonts w:ascii="Times New Roman" w:hAnsi="Times New Roman" w:cs="Times New Roman"/>
              </w:rPr>
              <w:t xml:space="preserve"> </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1EAFA9B" w:rsidR="004424B2" w:rsidRDefault="008E4107" w:rsidP="004424B2">
            <w:pPr>
              <w:jc w:val="center"/>
              <w:rPr>
                <w:rFonts w:ascii="Times New Roman" w:hAnsi="Times New Roman" w:cs="Times New Roman"/>
              </w:rPr>
            </w:pPr>
            <w:r>
              <w:rPr>
                <w:rFonts w:ascii="Times New Roman" w:hAnsi="Times New Roman" w:cs="Times New Roman"/>
              </w:rPr>
              <w:t>*</w:t>
            </w: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0C04EC79"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r w:rsidR="008E4107">
              <w:rPr>
                <w:rFonts w:ascii="Times New Roman" w:hAnsi="Times New Roman" w:cs="Times New Roman"/>
              </w:rPr>
              <w:t xml:space="preserve"> </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20B497EC" w:rsidR="004424B2" w:rsidRDefault="008E4107" w:rsidP="004424B2">
            <w:pPr>
              <w:jc w:val="center"/>
              <w:rPr>
                <w:rFonts w:ascii="Times New Roman" w:hAnsi="Times New Roman" w:cs="Times New Roman"/>
              </w:rPr>
            </w:pPr>
            <w:r>
              <w:rPr>
                <w:rFonts w:ascii="Times New Roman" w:hAnsi="Times New Roman" w:cs="Times New Roman"/>
              </w:rPr>
              <w:t>*</w:t>
            </w: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2579AA9" w:rsidR="004424B2" w:rsidRDefault="004424B2" w:rsidP="004424B2">
            <w:pPr>
              <w:jc w:val="center"/>
              <w:rPr>
                <w:rFonts w:ascii="Times New Roman" w:hAnsi="Times New Roman" w:cs="Times New Roman"/>
              </w:rPr>
            </w:pP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237CCC06" w:rsidR="004424B2" w:rsidRDefault="008E4107"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14:paraId="5FB19679" w14:textId="77777777" w:rsidTr="00F70E4C">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F70E4C" w14:paraId="0FEB8CD9" w14:textId="77777777" w:rsidTr="00F70E4C">
        <w:tc>
          <w:tcPr>
            <w:tcW w:w="5575" w:type="dxa"/>
          </w:tcPr>
          <w:p w14:paraId="3AE68BA1" w14:textId="0C69B6CB" w:rsidR="00F70E4C" w:rsidRDefault="002E647C" w:rsidP="002E647C">
            <w:pPr>
              <w:tabs>
                <w:tab w:val="left" w:pos="1114"/>
              </w:tabs>
              <w:rPr>
                <w:rFonts w:ascii="Times New Roman" w:hAnsi="Times New Roman" w:cs="Times New Roman"/>
              </w:rPr>
            </w:pPr>
            <w:r>
              <w:rPr>
                <w:rFonts w:ascii="Times New Roman" w:hAnsi="Times New Roman" w:cs="Times New Roman"/>
              </w:rPr>
              <w:tab/>
            </w:r>
          </w:p>
        </w:tc>
        <w:tc>
          <w:tcPr>
            <w:tcW w:w="1890" w:type="dxa"/>
          </w:tcPr>
          <w:p w14:paraId="39877A01" w14:textId="77777777" w:rsidR="00F70E4C" w:rsidRDefault="00F70E4C" w:rsidP="004424B2">
            <w:pPr>
              <w:rPr>
                <w:rFonts w:ascii="Times New Roman" w:hAnsi="Times New Roman" w:cs="Times New Roman"/>
              </w:rPr>
            </w:pPr>
          </w:p>
        </w:tc>
        <w:tc>
          <w:tcPr>
            <w:tcW w:w="1885" w:type="dxa"/>
          </w:tcPr>
          <w:p w14:paraId="1D603C07" w14:textId="77777777" w:rsidR="00F70E4C" w:rsidRDefault="00F70E4C" w:rsidP="004424B2">
            <w:pPr>
              <w:rPr>
                <w:rFonts w:ascii="Times New Roman" w:hAnsi="Times New Roman" w:cs="Times New Roman"/>
              </w:rPr>
            </w:pPr>
          </w:p>
        </w:tc>
      </w:tr>
      <w:tr w:rsidR="002E647C" w14:paraId="2900E2D7" w14:textId="77777777" w:rsidTr="00F70E4C">
        <w:tc>
          <w:tcPr>
            <w:tcW w:w="5575" w:type="dxa"/>
          </w:tcPr>
          <w:p w14:paraId="5A870C10" w14:textId="1162885B" w:rsidR="002E647C" w:rsidRDefault="002E647C" w:rsidP="002E647C">
            <w:pPr>
              <w:rPr>
                <w:rFonts w:ascii="Times New Roman" w:hAnsi="Times New Roman" w:cs="Times New Roman"/>
              </w:rPr>
            </w:pPr>
            <w:r>
              <w:rPr>
                <w:rFonts w:cs="Arial"/>
                <w:b/>
                <w:bCs/>
              </w:rPr>
              <w:t>Assignment 1:</w:t>
            </w:r>
            <w:r>
              <w:rPr>
                <w:rFonts w:cs="Arial"/>
                <w:b/>
                <w:bCs/>
              </w:rPr>
              <w:tab/>
              <w:t>Community Assessment</w:t>
            </w:r>
          </w:p>
        </w:tc>
        <w:tc>
          <w:tcPr>
            <w:tcW w:w="1890" w:type="dxa"/>
          </w:tcPr>
          <w:p w14:paraId="0C15C5F5" w14:textId="77777777" w:rsidR="002E647C" w:rsidRDefault="002E647C" w:rsidP="002E647C">
            <w:pPr>
              <w:jc w:val="center"/>
              <w:rPr>
                <w:rFonts w:cs="Arial"/>
              </w:rPr>
            </w:pPr>
            <w:r>
              <w:rPr>
                <w:rFonts w:cs="Arial"/>
              </w:rPr>
              <w:t>Class 4</w:t>
            </w:r>
          </w:p>
          <w:p w14:paraId="1FF5325C" w14:textId="77777777" w:rsidR="002E647C" w:rsidRDefault="002E647C" w:rsidP="002E647C">
            <w:pPr>
              <w:jc w:val="center"/>
              <w:rPr>
                <w:rFonts w:cs="Arial"/>
              </w:rPr>
            </w:pPr>
            <w:r>
              <w:rPr>
                <w:rFonts w:cs="Arial"/>
              </w:rPr>
              <w:t xml:space="preserve">Paper due on class day </w:t>
            </w:r>
          </w:p>
          <w:p w14:paraId="09E6BA9A" w14:textId="685F02A4" w:rsidR="002E647C" w:rsidRDefault="002E647C" w:rsidP="002E647C">
            <w:pPr>
              <w:jc w:val="center"/>
              <w:rPr>
                <w:rFonts w:ascii="Times New Roman" w:hAnsi="Times New Roman" w:cs="Times New Roman"/>
              </w:rPr>
            </w:pPr>
            <w:r>
              <w:rPr>
                <w:rFonts w:cs="Arial"/>
              </w:rPr>
              <w:t>by 11:59pm PST</w:t>
            </w:r>
          </w:p>
        </w:tc>
        <w:tc>
          <w:tcPr>
            <w:tcW w:w="1885" w:type="dxa"/>
          </w:tcPr>
          <w:p w14:paraId="739151ED" w14:textId="5B043E9D" w:rsidR="002E647C" w:rsidRDefault="002E647C" w:rsidP="002E647C">
            <w:pPr>
              <w:jc w:val="center"/>
              <w:rPr>
                <w:rFonts w:ascii="Times New Roman" w:hAnsi="Times New Roman" w:cs="Times New Roman"/>
              </w:rPr>
            </w:pPr>
            <w:r>
              <w:rPr>
                <w:rFonts w:cs="Arial"/>
              </w:rPr>
              <w:t>20%</w:t>
            </w:r>
          </w:p>
        </w:tc>
      </w:tr>
      <w:tr w:rsidR="002E647C" w14:paraId="0AA58BC1" w14:textId="77777777" w:rsidTr="00F70E4C">
        <w:tc>
          <w:tcPr>
            <w:tcW w:w="5575" w:type="dxa"/>
          </w:tcPr>
          <w:p w14:paraId="220B21C2" w14:textId="77777777" w:rsidR="002E647C" w:rsidRDefault="002E647C" w:rsidP="002E647C">
            <w:pPr>
              <w:rPr>
                <w:rFonts w:ascii="Times New Roman" w:hAnsi="Times New Roman" w:cs="Times New Roman"/>
              </w:rPr>
            </w:pPr>
          </w:p>
        </w:tc>
        <w:tc>
          <w:tcPr>
            <w:tcW w:w="1890" w:type="dxa"/>
          </w:tcPr>
          <w:p w14:paraId="201AC62D" w14:textId="77777777" w:rsidR="002E647C" w:rsidRDefault="002E647C" w:rsidP="002E647C">
            <w:pPr>
              <w:rPr>
                <w:rFonts w:ascii="Times New Roman" w:hAnsi="Times New Roman" w:cs="Times New Roman"/>
              </w:rPr>
            </w:pPr>
          </w:p>
        </w:tc>
        <w:tc>
          <w:tcPr>
            <w:tcW w:w="1885" w:type="dxa"/>
          </w:tcPr>
          <w:p w14:paraId="3E3176C0" w14:textId="77777777" w:rsidR="002E647C" w:rsidRDefault="002E647C" w:rsidP="002E647C">
            <w:pPr>
              <w:rPr>
                <w:rFonts w:ascii="Times New Roman" w:hAnsi="Times New Roman" w:cs="Times New Roman"/>
              </w:rPr>
            </w:pPr>
          </w:p>
        </w:tc>
      </w:tr>
      <w:tr w:rsidR="002E647C" w14:paraId="5D7877DB" w14:textId="77777777" w:rsidTr="002E647C">
        <w:tc>
          <w:tcPr>
            <w:tcW w:w="5575" w:type="dxa"/>
          </w:tcPr>
          <w:p w14:paraId="71ED1915" w14:textId="77777777" w:rsidR="002E647C" w:rsidRDefault="002E647C" w:rsidP="00C21F24">
            <w:pPr>
              <w:ind w:left="1530" w:hanging="1530"/>
            </w:pPr>
            <w:r>
              <w:rPr>
                <w:rFonts w:cs="Arial"/>
                <w:b/>
                <w:bCs/>
              </w:rPr>
              <w:t xml:space="preserve">Assignment 2:  </w:t>
            </w:r>
            <w:r>
              <w:rPr>
                <w:rFonts w:cs="Arial"/>
                <w:b/>
                <w:bCs/>
              </w:rPr>
              <w:tab/>
              <w:t>Collaborative Op-Ed to Address a Grand Challenge</w:t>
            </w:r>
          </w:p>
        </w:tc>
        <w:tc>
          <w:tcPr>
            <w:tcW w:w="1890" w:type="dxa"/>
          </w:tcPr>
          <w:p w14:paraId="2FE83C55" w14:textId="77777777" w:rsidR="002E647C" w:rsidRDefault="002E647C" w:rsidP="002E647C">
            <w:pPr>
              <w:jc w:val="center"/>
              <w:rPr>
                <w:rFonts w:cs="Arial"/>
              </w:rPr>
            </w:pPr>
            <w:r>
              <w:rPr>
                <w:rFonts w:cs="Arial"/>
              </w:rPr>
              <w:t>Class 9</w:t>
            </w:r>
          </w:p>
          <w:p w14:paraId="53E2E37A" w14:textId="77777777" w:rsidR="002E647C" w:rsidRDefault="002E647C" w:rsidP="002E647C">
            <w:pPr>
              <w:jc w:val="center"/>
              <w:rPr>
                <w:rFonts w:cs="Arial"/>
              </w:rPr>
            </w:pPr>
            <w:r>
              <w:rPr>
                <w:rFonts w:cs="Arial"/>
              </w:rPr>
              <w:t>Submit paper by class time</w:t>
            </w:r>
          </w:p>
          <w:p w14:paraId="284D8E40" w14:textId="31F38452" w:rsidR="002E647C" w:rsidRDefault="002E647C" w:rsidP="002E647C">
            <w:pPr>
              <w:jc w:val="center"/>
              <w:rPr>
                <w:rFonts w:cs="Arial"/>
              </w:rPr>
            </w:pPr>
            <w:r>
              <w:rPr>
                <w:rFonts w:cs="Arial"/>
              </w:rPr>
              <w:t>~</w:t>
            </w:r>
          </w:p>
          <w:p w14:paraId="7B5F4C89" w14:textId="5E5CC710" w:rsidR="002E647C" w:rsidRPr="00370844" w:rsidRDefault="002E647C" w:rsidP="002E647C">
            <w:pPr>
              <w:jc w:val="center"/>
              <w:rPr>
                <w:rFonts w:cs="Arial"/>
              </w:rPr>
            </w:pPr>
            <w:r>
              <w:rPr>
                <w:rFonts w:cs="Arial"/>
              </w:rPr>
              <w:t>mini- presentations in class</w:t>
            </w:r>
          </w:p>
        </w:tc>
        <w:tc>
          <w:tcPr>
            <w:tcW w:w="1885" w:type="dxa"/>
          </w:tcPr>
          <w:p w14:paraId="120824CD" w14:textId="77777777" w:rsidR="002E647C" w:rsidRDefault="002E647C" w:rsidP="00C21F24">
            <w:pPr>
              <w:jc w:val="center"/>
            </w:pPr>
            <w:r>
              <w:t>35%</w:t>
            </w:r>
          </w:p>
        </w:tc>
      </w:tr>
      <w:tr w:rsidR="002E647C" w14:paraId="4CB36A20" w14:textId="77777777" w:rsidTr="002E647C">
        <w:tc>
          <w:tcPr>
            <w:tcW w:w="5575" w:type="dxa"/>
          </w:tcPr>
          <w:p w14:paraId="3AD3C75D" w14:textId="77777777" w:rsidR="002E647C" w:rsidRDefault="002E647C" w:rsidP="00C21F24">
            <w:pPr>
              <w:ind w:left="1530" w:hanging="1530"/>
              <w:rPr>
                <w:rFonts w:cs="Arial"/>
                <w:b/>
                <w:bCs/>
              </w:rPr>
            </w:pPr>
          </w:p>
        </w:tc>
        <w:tc>
          <w:tcPr>
            <w:tcW w:w="1890" w:type="dxa"/>
          </w:tcPr>
          <w:p w14:paraId="6994179E" w14:textId="77777777" w:rsidR="002E647C" w:rsidRDefault="002E647C" w:rsidP="00C21F24">
            <w:pPr>
              <w:jc w:val="center"/>
              <w:rPr>
                <w:rFonts w:cs="Arial"/>
              </w:rPr>
            </w:pPr>
          </w:p>
        </w:tc>
        <w:tc>
          <w:tcPr>
            <w:tcW w:w="1885" w:type="dxa"/>
          </w:tcPr>
          <w:p w14:paraId="715B0A9F" w14:textId="77777777" w:rsidR="002E647C" w:rsidRDefault="002E647C" w:rsidP="00C21F24">
            <w:pPr>
              <w:jc w:val="center"/>
            </w:pPr>
          </w:p>
        </w:tc>
      </w:tr>
      <w:tr w:rsidR="002E647C" w14:paraId="2BD23883" w14:textId="77777777" w:rsidTr="002E647C">
        <w:tc>
          <w:tcPr>
            <w:tcW w:w="5575" w:type="dxa"/>
          </w:tcPr>
          <w:p w14:paraId="107715E7" w14:textId="77777777" w:rsidR="002E647C" w:rsidRPr="00A36678" w:rsidRDefault="002E647C" w:rsidP="00C21F24">
            <w:pPr>
              <w:ind w:left="1530" w:hanging="1530"/>
              <w:rPr>
                <w:rFonts w:cs="Arial"/>
                <w:b/>
                <w:bCs/>
              </w:rPr>
            </w:pPr>
            <w:r>
              <w:rPr>
                <w:rFonts w:cs="Arial"/>
                <w:b/>
                <w:bCs/>
              </w:rPr>
              <w:lastRenderedPageBreak/>
              <w:t xml:space="preserve">Assignment 3:    Advocacy to Impact a Grand Challenge: Lobbying </w:t>
            </w:r>
          </w:p>
        </w:tc>
        <w:tc>
          <w:tcPr>
            <w:tcW w:w="1890" w:type="dxa"/>
          </w:tcPr>
          <w:p w14:paraId="438FFF6E" w14:textId="54360FB8" w:rsidR="002E647C" w:rsidRDefault="002E647C" w:rsidP="002E647C">
            <w:pPr>
              <w:jc w:val="center"/>
              <w:rPr>
                <w:rFonts w:cs="Arial"/>
              </w:rPr>
            </w:pPr>
            <w:r>
              <w:rPr>
                <w:rFonts w:cs="Arial"/>
              </w:rPr>
              <w:t>Class 14</w:t>
            </w:r>
          </w:p>
          <w:p w14:paraId="064707DD" w14:textId="6BDA96CD" w:rsidR="002E647C" w:rsidRDefault="002E647C" w:rsidP="002E647C">
            <w:pPr>
              <w:jc w:val="center"/>
              <w:rPr>
                <w:rFonts w:cs="Arial"/>
              </w:rPr>
            </w:pPr>
            <w:r>
              <w:rPr>
                <w:rFonts w:cs="Arial"/>
              </w:rPr>
              <w:t>Submit paper on class day by 11:59pm PST</w:t>
            </w:r>
          </w:p>
          <w:p w14:paraId="4AF9C993" w14:textId="36AA9242" w:rsidR="002E647C" w:rsidRDefault="002E647C" w:rsidP="002E647C">
            <w:pPr>
              <w:jc w:val="center"/>
              <w:rPr>
                <w:rFonts w:cs="Arial"/>
              </w:rPr>
            </w:pPr>
            <w:r>
              <w:rPr>
                <w:rFonts w:cs="Arial"/>
              </w:rPr>
              <w:t>~</w:t>
            </w:r>
          </w:p>
          <w:p w14:paraId="6E056826" w14:textId="3905EF45" w:rsidR="002E647C" w:rsidRDefault="002E647C" w:rsidP="002E647C">
            <w:pPr>
              <w:jc w:val="center"/>
              <w:rPr>
                <w:rFonts w:cs="Arial"/>
              </w:rPr>
            </w:pPr>
            <w:r>
              <w:rPr>
                <w:rFonts w:cs="Arial"/>
              </w:rPr>
              <w:t>Presentation times assigned for both class 14 and 15</w:t>
            </w:r>
          </w:p>
        </w:tc>
        <w:tc>
          <w:tcPr>
            <w:tcW w:w="1885" w:type="dxa"/>
          </w:tcPr>
          <w:p w14:paraId="607962DA" w14:textId="77777777" w:rsidR="002E647C" w:rsidRDefault="002E647C" w:rsidP="00C21F24">
            <w:pPr>
              <w:jc w:val="center"/>
            </w:pPr>
            <w:r>
              <w:t>35%</w:t>
            </w:r>
          </w:p>
        </w:tc>
      </w:tr>
      <w:tr w:rsidR="002E647C" w14:paraId="16585B3A" w14:textId="77777777" w:rsidTr="002E647C">
        <w:tc>
          <w:tcPr>
            <w:tcW w:w="5575" w:type="dxa"/>
          </w:tcPr>
          <w:p w14:paraId="118EA418" w14:textId="38C3BAD1" w:rsidR="002E647C" w:rsidRDefault="002E647C" w:rsidP="002E647C">
            <w:pPr>
              <w:tabs>
                <w:tab w:val="left" w:pos="1331"/>
              </w:tabs>
              <w:ind w:left="1530" w:hanging="1530"/>
              <w:rPr>
                <w:rFonts w:cs="Arial"/>
                <w:b/>
                <w:bCs/>
              </w:rPr>
            </w:pPr>
            <w:r>
              <w:rPr>
                <w:rFonts w:cs="Arial"/>
                <w:b/>
                <w:bCs/>
              </w:rPr>
              <w:tab/>
            </w:r>
          </w:p>
        </w:tc>
        <w:tc>
          <w:tcPr>
            <w:tcW w:w="1890" w:type="dxa"/>
          </w:tcPr>
          <w:p w14:paraId="2839DF72" w14:textId="77777777" w:rsidR="002E647C" w:rsidRDefault="002E647C" w:rsidP="00C21F24">
            <w:pPr>
              <w:rPr>
                <w:rFonts w:cs="Arial"/>
              </w:rPr>
            </w:pPr>
          </w:p>
        </w:tc>
        <w:tc>
          <w:tcPr>
            <w:tcW w:w="1885" w:type="dxa"/>
          </w:tcPr>
          <w:p w14:paraId="4F3DF121" w14:textId="77777777" w:rsidR="002E647C" w:rsidRDefault="002E647C" w:rsidP="00C21F24">
            <w:pPr>
              <w:jc w:val="center"/>
            </w:pPr>
          </w:p>
        </w:tc>
      </w:tr>
      <w:tr w:rsidR="002E647C" w14:paraId="47AFA375" w14:textId="77777777" w:rsidTr="002E647C">
        <w:trPr>
          <w:trHeight w:val="898"/>
        </w:trPr>
        <w:tc>
          <w:tcPr>
            <w:tcW w:w="5575" w:type="dxa"/>
          </w:tcPr>
          <w:p w14:paraId="0FB5DAF5" w14:textId="77777777" w:rsidR="002E647C" w:rsidRPr="00EF0C7C" w:rsidRDefault="002E647C" w:rsidP="00C21F24">
            <w:pPr>
              <w:ind w:left="1530" w:hanging="1530"/>
              <w:rPr>
                <w:rFonts w:cs="Arial"/>
                <w:b/>
                <w:bCs/>
              </w:rPr>
            </w:pPr>
            <w:r w:rsidRPr="00A36678">
              <w:rPr>
                <w:rFonts w:cs="Arial"/>
                <w:b/>
                <w:bCs/>
              </w:rPr>
              <w:t>Participation</w:t>
            </w:r>
            <w:r>
              <w:rPr>
                <w:rFonts w:cs="Arial"/>
                <w:b/>
                <w:bCs/>
              </w:rPr>
              <w:t xml:space="preserve">:  In-class participation, preparation and engagement </w:t>
            </w:r>
          </w:p>
        </w:tc>
        <w:tc>
          <w:tcPr>
            <w:tcW w:w="1890" w:type="dxa"/>
          </w:tcPr>
          <w:p w14:paraId="4E9DAADE" w14:textId="77777777" w:rsidR="002E647C" w:rsidRPr="002E647C" w:rsidRDefault="002E647C" w:rsidP="00C21F24">
            <w:pPr>
              <w:jc w:val="center"/>
              <w:rPr>
                <w:rFonts w:cs="Arial"/>
              </w:rPr>
            </w:pPr>
            <w:r w:rsidRPr="002E647C">
              <w:rPr>
                <w:rFonts w:cs="Arial"/>
              </w:rPr>
              <w:t>Ongoing; faculty will check in during week 6</w:t>
            </w:r>
          </w:p>
        </w:tc>
        <w:tc>
          <w:tcPr>
            <w:tcW w:w="1885" w:type="dxa"/>
          </w:tcPr>
          <w:p w14:paraId="11B0D387" w14:textId="77777777" w:rsidR="002E647C" w:rsidRDefault="002E647C" w:rsidP="00C21F24">
            <w:pPr>
              <w:jc w:val="center"/>
            </w:pPr>
            <w:r>
              <w:t>10%</w:t>
            </w:r>
          </w:p>
        </w:tc>
      </w:tr>
    </w:tbl>
    <w:p w14:paraId="66E9644A" w14:textId="77777777" w:rsidR="00894E38" w:rsidRDefault="00894E38" w:rsidP="00F70E4C">
      <w:pPr>
        <w:rPr>
          <w:rFonts w:ascii="Times New Roman" w:hAnsi="Times New Roman" w:cs="Times New Roman"/>
          <w:i/>
        </w:rPr>
      </w:pPr>
    </w:p>
    <w:p w14:paraId="6345A929" w14:textId="6604F2F4" w:rsidR="00F70E4C" w:rsidRPr="00894E38" w:rsidRDefault="00F70E4C" w:rsidP="00F70E4C">
      <w:pPr>
        <w:rPr>
          <w:rFonts w:ascii="Times New Roman" w:hAnsi="Times New Roman" w:cs="Times New Roman"/>
          <w:i/>
        </w:rPr>
      </w:pPr>
      <w:r w:rsidRPr="00894E38">
        <w:rPr>
          <w:rFonts w:ascii="Times New Roman" w:hAnsi="Times New Roman" w:cs="Times New Roman"/>
          <w:i/>
        </w:rPr>
        <w:t>Each of the major assignments is described below.</w:t>
      </w:r>
    </w:p>
    <w:p w14:paraId="5426A055" w14:textId="77777777" w:rsidR="002E647C" w:rsidRPr="004E6715" w:rsidRDefault="002E647C" w:rsidP="002E647C">
      <w:pPr>
        <w:rPr>
          <w:u w:val="single"/>
        </w:rPr>
      </w:pPr>
      <w:r w:rsidRPr="004E6715">
        <w:rPr>
          <w:b/>
          <w:u w:val="single"/>
        </w:rPr>
        <w:t>Assignment # 1: Community Assessment</w:t>
      </w:r>
      <w:r w:rsidRPr="004E6715">
        <w:t xml:space="preserve"> (20% of course grade, due class 4)</w:t>
      </w:r>
    </w:p>
    <w:p w14:paraId="68E1B9CA" w14:textId="77777777" w:rsidR="002E647C" w:rsidRPr="004E6715" w:rsidRDefault="002E647C" w:rsidP="002E647C">
      <w:r w:rsidRPr="004E6715">
        <w:t xml:space="preserve">Assignment #1 is a five- to seven-page research-based assessment of a specific geographic community.  The purpose of this assignment is for you to practice researching socio-economic and demographic data, assess the important aspects thereof as they interact with and impact the community, and demonstrate a distanced, professional understanding of a community and its strength and challenges. </w:t>
      </w:r>
    </w:p>
    <w:p w14:paraId="36A15D37" w14:textId="77777777" w:rsidR="002E647C" w:rsidRPr="004E6715" w:rsidRDefault="002E647C" w:rsidP="002E647C">
      <w:r w:rsidRPr="004E6715">
        <w:t>The assignment is broken into the following sections in order to help guide students in sharing a professional perspective regarding the community: Demographics; Grand Challenges; Leadership and Decision-making; and Reflections. Grading criteria include compliance with the assignment, professional presentation (</w:t>
      </w:r>
      <w:r w:rsidRPr="004E6715">
        <w:rPr>
          <w:color w:val="000000"/>
        </w:rPr>
        <w:t>conforming to the basic rules of APA, English grammar, spelling and punctuation)</w:t>
      </w:r>
      <w:r w:rsidRPr="004E6715">
        <w:t xml:space="preserve">, and quality of content including evidence of critical thinking and basic understanding of concepts. </w:t>
      </w:r>
    </w:p>
    <w:p w14:paraId="1AECEB07" w14:textId="0395699E"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BE30E3">
        <w:rPr>
          <w:rFonts w:ascii="Times New Roman" w:hAnsi="Times New Roman" w:cs="Times New Roman"/>
          <w:b/>
          <w:i/>
        </w:rPr>
        <w:t xml:space="preserve"> course objective</w:t>
      </w:r>
      <w:r w:rsidR="002E647C">
        <w:rPr>
          <w:rFonts w:ascii="Times New Roman" w:hAnsi="Times New Roman" w:cs="Times New Roman"/>
          <w:b/>
          <w:i/>
        </w:rPr>
        <w:t xml:space="preserve"> 1-5</w:t>
      </w:r>
      <w:r w:rsidR="00BE30E3">
        <w:rPr>
          <w:rFonts w:ascii="Times New Roman" w:hAnsi="Times New Roman" w:cs="Times New Roman"/>
          <w:b/>
          <w:i/>
        </w:rPr>
        <w:t xml:space="preserve"> 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002E647C">
        <w:rPr>
          <w:rFonts w:ascii="Times New Roman" w:hAnsi="Times New Roman" w:cs="Times New Roman"/>
          <w:b/>
          <w:i/>
        </w:rPr>
        <w:t xml:space="preserve"> 1,3,5, and 8</w:t>
      </w:r>
      <w:r w:rsidRPr="00F70E4C">
        <w:rPr>
          <w:rFonts w:ascii="Times New Roman" w:hAnsi="Times New Roman" w:cs="Times New Roman"/>
          <w:b/>
          <w:i/>
        </w:rPr>
        <w:t>.</w:t>
      </w:r>
    </w:p>
    <w:p w14:paraId="3CB444DE" w14:textId="77777777" w:rsidR="002E647C" w:rsidRPr="004E6715" w:rsidRDefault="002E647C" w:rsidP="002E647C">
      <w:r w:rsidRPr="004E6715">
        <w:rPr>
          <w:b/>
          <w:u w:val="single"/>
        </w:rPr>
        <w:t xml:space="preserve">Assignment # 2: Collaborative Op-Ed to Address a Grand Challenge </w:t>
      </w:r>
      <w:r w:rsidRPr="004E6715">
        <w:t>(35</w:t>
      </w:r>
      <w:r>
        <w:t>% of course grade, due class # 9</w:t>
      </w:r>
      <w:r w:rsidRPr="004E6715">
        <w:t>)</w:t>
      </w:r>
    </w:p>
    <w:p w14:paraId="6AC2D449" w14:textId="77777777" w:rsidR="002E647C" w:rsidRPr="004E6715" w:rsidRDefault="002E647C" w:rsidP="002E647C">
      <w:r w:rsidRPr="004E6715">
        <w:t xml:space="preserve">Students will work in pairs for this assignment (editorials are rarely published with more than two authors). This assignment is for the two students to draft a publishable editorial on a substantive policy topic and specific policy that they have agreed upon, ideally identified in the students’ work in assignment 1. Each group will select a social welfare challenge facing a community (which they have identified as linked to the Grand Challenges). The students will research the policy and policy area together, write a professional and expert op-ed together, and submit the op-ed to the most appropriate media outlet the students choose, following the rules of that outlet; editorials are typically 500 to 750 words. </w:t>
      </w:r>
    </w:p>
    <w:p w14:paraId="4F56D3FA" w14:textId="77777777" w:rsidR="002E647C" w:rsidRPr="00AB7281" w:rsidRDefault="002E647C" w:rsidP="002E647C">
      <w:pPr>
        <w:rPr>
          <w:b/>
        </w:rPr>
      </w:pPr>
      <w:r w:rsidRPr="00AB7281">
        <w:rPr>
          <w:b/>
        </w:rPr>
        <w:t xml:space="preserve"> No submissions to the LA Times are allowed. </w:t>
      </w:r>
    </w:p>
    <w:p w14:paraId="510F0765" w14:textId="77777777" w:rsidR="002E647C" w:rsidRPr="004E6715" w:rsidRDefault="002E647C" w:rsidP="002E647C">
      <w:r w:rsidRPr="00AB7281">
        <w:rPr>
          <w:b/>
          <w:highlight w:val="yellow"/>
        </w:rPr>
        <w:t>During class 9,</w:t>
      </w:r>
      <w:r w:rsidRPr="004E6715">
        <w:t xml:space="preserve"> there will be an in-class share/presentation.  Each group will share their op-ed to their classmates. Then, the authors will briefly explain their topic, present relevant information for the classmates to fully understand their position, why they chose the issue they focused upon, why they </w:t>
      </w:r>
      <w:r w:rsidRPr="004E6715">
        <w:lastRenderedPageBreak/>
        <w:t xml:space="preserve">chose that particular media outlet, and what that outlet’s rules are for submitting an editorial / guest commentary, and their experience submitting the writing.  </w:t>
      </w:r>
    </w:p>
    <w:p w14:paraId="489B84E8" w14:textId="77777777" w:rsidR="002E647C" w:rsidRPr="004E6715" w:rsidRDefault="002E647C" w:rsidP="002E647C">
      <w:r w:rsidRPr="004E6715">
        <w:t xml:space="preserve">The assignment is due and the share/presentation will occur during class # </w:t>
      </w:r>
      <w:r>
        <w:t>9</w:t>
      </w:r>
      <w:r w:rsidRPr="004E6715">
        <w:t>, and is worth 35% of the overall course grade. Grading of the assignment is not based on publication.</w:t>
      </w:r>
    </w:p>
    <w:p w14:paraId="1146A29C" w14:textId="77777777" w:rsidR="002E647C" w:rsidRPr="004E6715" w:rsidRDefault="002E647C" w:rsidP="002E647C">
      <w:pPr>
        <w:rPr>
          <w:b/>
          <w:u w:val="single"/>
        </w:rPr>
      </w:pPr>
      <w:r w:rsidRPr="004E6715">
        <w:t>Grading criteria for this assignment will include responsiveness to the assignment; organization and clarity of the information presented; and demonstrated effort in creating an appropriate, evidenced editorial.</w:t>
      </w:r>
    </w:p>
    <w:p w14:paraId="730EE4ED" w14:textId="70F344F3" w:rsidR="002E647C" w:rsidRDefault="002E647C" w:rsidP="00F70E4C">
      <w:pPr>
        <w:rPr>
          <w:rFonts w:ascii="Times New Roman" w:hAnsi="Times New Roman" w:cs="Times New Roman"/>
          <w:b/>
        </w:rPr>
      </w:pPr>
      <w:r w:rsidRPr="00F70E4C">
        <w:rPr>
          <w:rFonts w:ascii="Times New Roman" w:hAnsi="Times New Roman" w:cs="Times New Roman"/>
          <w:b/>
          <w:i/>
        </w:rPr>
        <w:t>This assignment relates to</w:t>
      </w:r>
      <w:r>
        <w:rPr>
          <w:rFonts w:ascii="Times New Roman" w:hAnsi="Times New Roman" w:cs="Times New Roman"/>
          <w:b/>
          <w:i/>
        </w:rPr>
        <w:t xml:space="preserve"> course objective 1-5 and</w:t>
      </w:r>
      <w:r w:rsidRPr="00F70E4C">
        <w:rPr>
          <w:rFonts w:ascii="Times New Roman" w:hAnsi="Times New Roman" w:cs="Times New Roman"/>
          <w:b/>
          <w:i/>
        </w:rPr>
        <w:t xml:space="preserve"> </w:t>
      </w:r>
      <w:r>
        <w:rPr>
          <w:rFonts w:ascii="Times New Roman" w:hAnsi="Times New Roman" w:cs="Times New Roman"/>
          <w:b/>
          <w:i/>
        </w:rPr>
        <w:t>social work competency 1,3,5, and 8</w:t>
      </w:r>
      <w:r w:rsidRPr="00F70E4C">
        <w:rPr>
          <w:rFonts w:ascii="Times New Roman" w:hAnsi="Times New Roman" w:cs="Times New Roman"/>
          <w:b/>
          <w:i/>
        </w:rPr>
        <w:t>.</w:t>
      </w:r>
    </w:p>
    <w:p w14:paraId="6DE12B6D" w14:textId="77777777" w:rsidR="002E647C" w:rsidRPr="004E6715" w:rsidRDefault="002E647C" w:rsidP="002E647C">
      <w:pPr>
        <w:rPr>
          <w:u w:val="single"/>
        </w:rPr>
      </w:pPr>
      <w:r w:rsidRPr="004E6715">
        <w:rPr>
          <w:b/>
          <w:u w:val="single"/>
        </w:rPr>
        <w:t>Assignment # 3: Advocacy to Impact a Grand Challenge: Lobbying (</w:t>
      </w:r>
      <w:r w:rsidRPr="004E6715">
        <w:t>35% of grade, due class 14 (presentations in class 14 and 15)</w:t>
      </w:r>
    </w:p>
    <w:p w14:paraId="724BDD1F" w14:textId="77777777" w:rsidR="002E647C" w:rsidRPr="004E6715" w:rsidRDefault="002E647C" w:rsidP="002E647C">
      <w:r w:rsidRPr="004E6715">
        <w:t xml:space="preserve">Each student will conduct a lobby visit </w:t>
      </w:r>
      <w:r w:rsidRPr="004E6715">
        <w:rPr>
          <w:highlight w:val="yellow"/>
        </w:rPr>
        <w:t>(virtual, telephonic, or in-person if appropriate due to COVID19)</w:t>
      </w:r>
      <w:r w:rsidRPr="004E6715">
        <w:t xml:space="preserve"> with a local or other elected official or their staff on a social welfare policy/challenge that impacts a geographic-based or interest-focused community. The lobby visit will describe the policy/issue, how it impacts the community, and offer a positive policy intervention/solution. Each student will also prepare a one to two-page memo describing and analyzing the substantive issue the student seeks to impact and the corresponding policy; the memo will serve as a leave-behind for your lobby visit. Scheduling a lobby visit is often most successful where the student is a constituent, however, a lobby visit may move beyond these geographic boundaries in the event COVID19 public health measures prevent an in-person visit.  The student is encouraged to strategize the best person to lobby considering their chosen policy. </w:t>
      </w:r>
    </w:p>
    <w:p w14:paraId="636ED716" w14:textId="77777777" w:rsidR="002E647C" w:rsidRPr="004E6715" w:rsidRDefault="002E647C" w:rsidP="002E647C">
      <w:r w:rsidRPr="004E6715">
        <w:t>Each student will arrange and conduct a lobby visit on that policy issue with a local or other elected official of their choice.  The</w:t>
      </w:r>
      <w:r>
        <w:t xml:space="preserve"> leave-behind </w:t>
      </w:r>
      <w:r w:rsidRPr="004E6715">
        <w:t xml:space="preserve">memo </w:t>
      </w:r>
      <w:r>
        <w:t xml:space="preserve">will be submitted to the professor, and </w:t>
      </w:r>
      <w:r w:rsidRPr="004E6715">
        <w:t>will include sections on issue description, historical background, scope of issue and population impacted, policy and changes sought, rationale for your changes, and ethical implications.</w:t>
      </w:r>
    </w:p>
    <w:p w14:paraId="2E3E4554" w14:textId="77777777" w:rsidR="002E647C" w:rsidRPr="004E6715" w:rsidRDefault="002E647C" w:rsidP="002E647C">
      <w:r w:rsidRPr="004E6715">
        <w:t xml:space="preserve">Grading criteria will include responsiveness to the assignment; organization and clarity of the information presented; demonstrated effort in organizing the visit, overcoming unexpected issues, and conducting a visit; and critical thinking and use of evidence to support conclusions. </w:t>
      </w:r>
    </w:p>
    <w:p w14:paraId="028BD45D" w14:textId="77777777" w:rsidR="002E647C" w:rsidRDefault="002E647C" w:rsidP="002E647C">
      <w:pPr>
        <w:rPr>
          <w:rFonts w:ascii="Times New Roman" w:hAnsi="Times New Roman" w:cs="Times New Roman"/>
          <w:b/>
        </w:rPr>
      </w:pPr>
      <w:r w:rsidRPr="00F70E4C">
        <w:rPr>
          <w:rFonts w:ascii="Times New Roman" w:hAnsi="Times New Roman" w:cs="Times New Roman"/>
          <w:b/>
          <w:i/>
        </w:rPr>
        <w:t>This assignment relates to</w:t>
      </w:r>
      <w:r>
        <w:rPr>
          <w:rFonts w:ascii="Times New Roman" w:hAnsi="Times New Roman" w:cs="Times New Roman"/>
          <w:b/>
          <w:i/>
        </w:rPr>
        <w:t xml:space="preserve"> course objective 1-5 and</w:t>
      </w:r>
      <w:r w:rsidRPr="00F70E4C">
        <w:rPr>
          <w:rFonts w:ascii="Times New Roman" w:hAnsi="Times New Roman" w:cs="Times New Roman"/>
          <w:b/>
          <w:i/>
        </w:rPr>
        <w:t xml:space="preserve"> </w:t>
      </w:r>
      <w:r>
        <w:rPr>
          <w:rFonts w:ascii="Times New Roman" w:hAnsi="Times New Roman" w:cs="Times New Roman"/>
          <w:b/>
          <w:i/>
        </w:rPr>
        <w:t>social work competency 1,3,5, and 8</w:t>
      </w:r>
      <w:r w:rsidRPr="00F70E4C">
        <w:rPr>
          <w:rFonts w:ascii="Times New Roman" w:hAnsi="Times New Roman" w:cs="Times New Roman"/>
          <w:b/>
          <w:i/>
        </w:rPr>
        <w:t>.</w:t>
      </w:r>
    </w:p>
    <w:p w14:paraId="7E4DE20D" w14:textId="748AC87A" w:rsidR="003B26AE" w:rsidRPr="002E647C" w:rsidRDefault="002E647C" w:rsidP="00F70E4C">
      <w:pPr>
        <w:rPr>
          <w:rFonts w:asciiTheme="majorBidi" w:hAnsiTheme="majorBidi" w:cstheme="majorBidi"/>
          <w:u w:val="single"/>
        </w:rPr>
      </w:pPr>
      <w:r w:rsidRPr="002E647C">
        <w:rPr>
          <w:rFonts w:ascii="Times New Roman" w:hAnsi="Times New Roman" w:cs="Times New Roman"/>
          <w:b/>
          <w:u w:val="single"/>
        </w:rPr>
        <w:t>Class Participation (10</w:t>
      </w:r>
      <w:r w:rsidR="00F70E4C" w:rsidRPr="002E647C">
        <w:rPr>
          <w:rFonts w:ascii="Times New Roman" w:hAnsi="Times New Roman" w:cs="Times New Roman"/>
          <w:b/>
          <w:u w:val="single"/>
        </w:rPr>
        <w:t>% of Course Grade)</w:t>
      </w:r>
      <w:r w:rsidR="00894E38">
        <w:rPr>
          <w:rFonts w:ascii="Times New Roman" w:hAnsi="Times New Roman" w:cs="Times New Roman"/>
          <w:b/>
          <w:u w:val="single"/>
        </w:rPr>
        <w:t xml:space="preserve"> -- </w:t>
      </w:r>
      <w:r w:rsidRPr="002E647C">
        <w:rPr>
          <w:rFonts w:asciiTheme="majorBidi" w:hAnsiTheme="majorBidi" w:cstheme="majorBidi"/>
          <w:b/>
          <w:u w:val="single"/>
        </w:rPr>
        <w:t>Assessed in totality over 15 classes</w:t>
      </w: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14:paraId="791AB5B3" w14:textId="77777777" w:rsidTr="006F4B9D">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F70E4C">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F70E4C">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F70E4C">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F70E4C">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F70E4C">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F70E4C">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F70E4C">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F70E4C">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lastRenderedPageBreak/>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16C5496E" w14:textId="02E77B25" w:rsidR="002E647C" w:rsidRPr="002E647C" w:rsidRDefault="0088469D" w:rsidP="002E647C">
      <w:pPr>
        <w:rPr>
          <w:rFonts w:ascii="Times New Roman" w:hAnsi="Times New Roman" w:cs="Times New Roman"/>
          <w:b/>
          <w:i/>
        </w:rPr>
      </w:pPr>
      <w:r w:rsidRPr="0088469D">
        <w:rPr>
          <w:rFonts w:ascii="Times New Roman" w:hAnsi="Times New Roman" w:cs="Times New Roman"/>
          <w:b/>
          <w:i/>
        </w:rPr>
        <w:t xml:space="preserve">Required Textbooks </w:t>
      </w:r>
      <w:r w:rsidR="002E647C" w:rsidRPr="002E647C">
        <w:rPr>
          <w:rFonts w:ascii="Calibri" w:eastAsia="Times New Roman" w:hAnsi="Calibri" w:cs="Times New Roman"/>
          <w:sz w:val="24"/>
          <w:szCs w:val="24"/>
        </w:rPr>
        <w:t xml:space="preserve"> </w:t>
      </w:r>
    </w:p>
    <w:p w14:paraId="299EC9DE" w14:textId="77777777" w:rsidR="002E647C" w:rsidRPr="002E647C" w:rsidRDefault="002E647C" w:rsidP="002E647C">
      <w:pPr>
        <w:numPr>
          <w:ilvl w:val="0"/>
          <w:numId w:val="10"/>
        </w:numPr>
        <w:spacing w:after="200" w:line="276" w:lineRule="auto"/>
        <w:contextualSpacing/>
        <w:rPr>
          <w:rFonts w:ascii="Calibri" w:eastAsia="Times New Roman" w:hAnsi="Calibri" w:cs="Times New Roman"/>
          <w:i/>
        </w:rPr>
      </w:pPr>
      <w:r w:rsidRPr="002E647C">
        <w:rPr>
          <w:rFonts w:ascii="Calibri" w:eastAsia="Times New Roman" w:hAnsi="Calibri" w:cs="Times New Roman"/>
        </w:rPr>
        <w:t xml:space="preserve">Jansson, B. (2020).  </w:t>
      </w:r>
      <w:r w:rsidRPr="002E647C">
        <w:rPr>
          <w:rFonts w:ascii="Calibri" w:eastAsia="Times New Roman" w:hAnsi="Calibri" w:cs="Times New Roman"/>
          <w:i/>
        </w:rPr>
        <w:t>Social welfare policy and advocacy: Advancing social justice through eight policy sectors,</w:t>
      </w:r>
      <w:r w:rsidRPr="002E647C">
        <w:rPr>
          <w:rFonts w:ascii="Calibri" w:eastAsia="Times New Roman" w:hAnsi="Calibri" w:cs="Times New Roman"/>
        </w:rPr>
        <w:t xml:space="preserve"> 2</w:t>
      </w:r>
      <w:r w:rsidRPr="002E647C">
        <w:rPr>
          <w:rFonts w:ascii="Calibri" w:eastAsia="Times New Roman" w:hAnsi="Calibri" w:cs="Times New Roman"/>
          <w:vertAlign w:val="superscript"/>
        </w:rPr>
        <w:t>nd</w:t>
      </w:r>
      <w:r w:rsidRPr="002E647C">
        <w:rPr>
          <w:rFonts w:ascii="Calibri" w:eastAsia="Times New Roman" w:hAnsi="Calibri" w:cs="Times New Roman"/>
        </w:rPr>
        <w:t xml:space="preserve"> edition. Sage. </w:t>
      </w:r>
    </w:p>
    <w:p w14:paraId="4BB3195F" w14:textId="77777777" w:rsidR="002E647C" w:rsidRPr="002E647C" w:rsidRDefault="002E647C" w:rsidP="002E647C">
      <w:pPr>
        <w:spacing w:after="200" w:line="276" w:lineRule="auto"/>
        <w:ind w:left="720"/>
        <w:contextualSpacing/>
        <w:rPr>
          <w:rFonts w:ascii="Calibri" w:eastAsia="Times New Roman" w:hAnsi="Calibri" w:cs="Times New Roman"/>
          <w:i/>
        </w:rPr>
      </w:pPr>
    </w:p>
    <w:p w14:paraId="30E1358B" w14:textId="77777777" w:rsidR="002E647C" w:rsidRPr="002E647C" w:rsidRDefault="002E647C" w:rsidP="002E647C">
      <w:pPr>
        <w:numPr>
          <w:ilvl w:val="0"/>
          <w:numId w:val="10"/>
        </w:numPr>
        <w:spacing w:after="200" w:line="276" w:lineRule="auto"/>
        <w:contextualSpacing/>
        <w:rPr>
          <w:rFonts w:ascii="Calibri" w:eastAsia="Times New Roman" w:hAnsi="Calibri" w:cs="Times New Roman"/>
        </w:rPr>
      </w:pPr>
      <w:r w:rsidRPr="002E647C">
        <w:rPr>
          <w:rFonts w:ascii="Calibri" w:eastAsia="Times New Roman" w:hAnsi="Calibri" w:cs="Times New Roman"/>
        </w:rPr>
        <w:t xml:space="preserve">Multiple readings, videos and on-line material will also be assigned and/or handed out on a class-by-class basis, based on daily-occurring current events and policy evolutions, as shared by the instructor. Many readings are available in ARES each week. </w:t>
      </w:r>
    </w:p>
    <w:p w14:paraId="7A5469C9" w14:textId="6CA7E4ED"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lastRenderedPageBreak/>
        <w:t>Additional required and recommended readings may be assigned by the instructor throughout the course.</w:t>
      </w:r>
    </w:p>
    <w:p w14:paraId="1740DEDA" w14:textId="5D215B2C"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w:t>
      </w:r>
      <w:r w:rsidR="00894E38">
        <w:rPr>
          <w:rFonts w:ascii="Times New Roman" w:hAnsi="Times New Roman" w:cs="Times New Roman"/>
        </w:rPr>
        <w:t xml:space="preserve">additional </w:t>
      </w:r>
      <w:r>
        <w:rPr>
          <w:rFonts w:ascii="Times New Roman" w:hAnsi="Times New Roman" w:cs="Times New Roman"/>
        </w:rPr>
        <w:t>recommended instructional materials and resources</w:t>
      </w:r>
    </w:p>
    <w:p w14:paraId="0F6FD5ED" w14:textId="7498D73B" w:rsidR="00545F10" w:rsidRDefault="00F81B37" w:rsidP="00545F10">
      <w:pPr>
        <w:rPr>
          <w:rFonts w:ascii="Times New Roman" w:hAnsi="Times New Roman" w:cs="Times New Roman"/>
        </w:rPr>
      </w:pPr>
      <w:r w:rsidRPr="00F81B37">
        <w:rPr>
          <w:rFonts w:ascii="Times New Roman" w:hAnsi="Times New Roman" w:cs="Times New Roman"/>
          <w:b/>
          <w:color w:val="991B1E"/>
        </w:rPr>
        <w:t>Course Overview</w:t>
      </w:r>
      <w:r w:rsidR="002E647C">
        <w:rPr>
          <w:rFonts w:ascii="Times New Roman" w:hAnsi="Times New Roman" w:cs="Times New Roman"/>
          <w:b/>
          <w:color w:val="991B1E"/>
        </w:rPr>
        <w:t xml:space="preserve"> (Fall / Spring) –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2E647C" w:rsidRPr="005A6E69" w14:paraId="4150F042" w14:textId="77777777" w:rsidTr="00C21F24">
        <w:trPr>
          <w:cantSplit/>
          <w:tblHeader/>
          <w:jc w:val="center"/>
        </w:trPr>
        <w:tc>
          <w:tcPr>
            <w:tcW w:w="1209" w:type="dxa"/>
            <w:tcBorders>
              <w:bottom w:val="single" w:sz="12" w:space="0" w:color="000000"/>
            </w:tcBorders>
            <w:shd w:val="clear" w:color="auto" w:fill="C00000"/>
          </w:tcPr>
          <w:p w14:paraId="057DF172" w14:textId="77777777" w:rsidR="002E647C" w:rsidRPr="005A6E69" w:rsidRDefault="002E647C" w:rsidP="00C21F24">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14:paraId="4BA46566" w14:textId="77777777" w:rsidR="002E647C" w:rsidRPr="005A6E69" w:rsidRDefault="002E647C" w:rsidP="00C21F24">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14:paraId="7CD2E2BA" w14:textId="77777777" w:rsidR="002E647C" w:rsidRPr="005A6E69" w:rsidRDefault="002E647C" w:rsidP="00C21F24">
            <w:pPr>
              <w:keepNext/>
              <w:jc w:val="center"/>
              <w:rPr>
                <w:rFonts w:cs="Arial"/>
                <w:b/>
                <w:bCs/>
                <w:szCs w:val="24"/>
              </w:rPr>
            </w:pPr>
          </w:p>
        </w:tc>
      </w:tr>
      <w:tr w:rsidR="002E647C" w:rsidRPr="005A6E69" w14:paraId="1AC38FCF" w14:textId="77777777" w:rsidTr="00C21F24">
        <w:trPr>
          <w:cantSplit/>
          <w:jc w:val="center"/>
        </w:trPr>
        <w:tc>
          <w:tcPr>
            <w:tcW w:w="1209" w:type="dxa"/>
            <w:tcBorders>
              <w:top w:val="single" w:sz="12" w:space="0" w:color="000000"/>
              <w:bottom w:val="single" w:sz="12" w:space="0" w:color="000000"/>
            </w:tcBorders>
            <w:shd w:val="clear" w:color="auto" w:fill="auto"/>
          </w:tcPr>
          <w:p w14:paraId="591DE306" w14:textId="77777777" w:rsidR="002E647C" w:rsidRPr="005A6E69" w:rsidRDefault="002E647C" w:rsidP="00C21F24">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14:paraId="6A9B4F38" w14:textId="77777777" w:rsidR="002E647C" w:rsidRPr="005A6E69" w:rsidRDefault="002E647C" w:rsidP="00C21F24">
            <w:pPr>
              <w:pStyle w:val="Level1"/>
              <w:tabs>
                <w:tab w:val="clear" w:pos="342"/>
                <w:tab w:val="num" w:pos="360"/>
              </w:tabs>
            </w:pPr>
            <w:r w:rsidRPr="005A6E69">
              <w:t>Adequacy, Security and Justice</w:t>
            </w:r>
          </w:p>
          <w:p w14:paraId="633B02B7" w14:textId="77777777" w:rsidR="002E647C" w:rsidRPr="005A6E69" w:rsidRDefault="002E647C" w:rsidP="00C21F24">
            <w:pPr>
              <w:pStyle w:val="Level2"/>
            </w:pPr>
            <w:r w:rsidRPr="005A6E69">
              <w:t>Programs to alleviate poverty</w:t>
            </w:r>
          </w:p>
          <w:p w14:paraId="69E40B7B" w14:textId="77777777" w:rsidR="002E647C" w:rsidRPr="005A6E69" w:rsidRDefault="002E647C" w:rsidP="00C21F24">
            <w:pPr>
              <w:pStyle w:val="Level2"/>
            </w:pPr>
            <w:r w:rsidRPr="005A6E69">
              <w:t>Insurances to create security</w:t>
            </w:r>
          </w:p>
          <w:p w14:paraId="6C996830" w14:textId="77777777" w:rsidR="002E647C" w:rsidRDefault="002E647C" w:rsidP="00C21F24">
            <w:pPr>
              <w:pStyle w:val="Level2"/>
            </w:pPr>
            <w:r w:rsidRPr="005A6E69">
              <w:t>Policies to create opportunity</w:t>
            </w:r>
          </w:p>
          <w:p w14:paraId="543EF8F7" w14:textId="77777777" w:rsidR="002E647C" w:rsidRDefault="002E647C" w:rsidP="00C21F24">
            <w:pPr>
              <w:pStyle w:val="Level2"/>
            </w:pPr>
            <w:r>
              <w:t>Charity vs. Professionalism</w:t>
            </w:r>
          </w:p>
          <w:p w14:paraId="0EE1FB91" w14:textId="77777777" w:rsidR="002E647C" w:rsidRDefault="002E647C" w:rsidP="00C21F24">
            <w:pPr>
              <w:pStyle w:val="Level2"/>
            </w:pPr>
            <w:r>
              <w:t>The Grand Challenges for Social Work</w:t>
            </w:r>
          </w:p>
          <w:p w14:paraId="0E7CA95E" w14:textId="77777777" w:rsidR="002E647C" w:rsidRDefault="002E647C" w:rsidP="00C21F24">
            <w:pPr>
              <w:pStyle w:val="Level2"/>
              <w:numPr>
                <w:ilvl w:val="0"/>
                <w:numId w:val="0"/>
              </w:numPr>
            </w:pPr>
            <w:r>
              <w:t xml:space="preserve">   </w:t>
            </w:r>
          </w:p>
          <w:p w14:paraId="5F7A3DC2" w14:textId="77777777" w:rsidR="002E647C" w:rsidRDefault="002E647C" w:rsidP="00C21F24">
            <w:pPr>
              <w:pStyle w:val="Level2"/>
              <w:numPr>
                <w:ilvl w:val="0"/>
                <w:numId w:val="0"/>
              </w:numPr>
              <w:rPr>
                <w:i/>
              </w:rPr>
            </w:pPr>
            <w:r w:rsidRPr="00A23284">
              <w:rPr>
                <w:i/>
              </w:rPr>
              <w:t>First assignment is hande</w:t>
            </w:r>
            <w:r>
              <w:rPr>
                <w:i/>
              </w:rPr>
              <w:t>d out:  Community Assessment</w:t>
            </w:r>
          </w:p>
          <w:p w14:paraId="6FA027AC" w14:textId="77777777" w:rsidR="002E647C" w:rsidRDefault="002E647C" w:rsidP="00C21F24">
            <w:pPr>
              <w:pStyle w:val="Level2"/>
              <w:numPr>
                <w:ilvl w:val="0"/>
                <w:numId w:val="0"/>
              </w:numPr>
              <w:rPr>
                <w:i/>
              </w:rPr>
            </w:pPr>
          </w:p>
          <w:p w14:paraId="54C80E07" w14:textId="6EDC54EA" w:rsidR="002E647C" w:rsidRDefault="002E647C" w:rsidP="00C21F24">
            <w:pPr>
              <w:pStyle w:val="Level2"/>
              <w:numPr>
                <w:ilvl w:val="0"/>
                <w:numId w:val="0"/>
              </w:numPr>
              <w:rPr>
                <w:i/>
              </w:rPr>
            </w:pPr>
            <w:r>
              <w:rPr>
                <w:i/>
              </w:rPr>
              <w:t>Required readings include the importance of understanding     and being able to assess communities as a foundation of social</w:t>
            </w:r>
            <w:r w:rsidR="00894E38">
              <w:rPr>
                <w:i/>
              </w:rPr>
              <w:t xml:space="preserve"> </w:t>
            </w:r>
            <w:r>
              <w:rPr>
                <w:i/>
              </w:rPr>
              <w:t>work practice.</w:t>
            </w:r>
          </w:p>
          <w:p w14:paraId="6E1ED669" w14:textId="14B3E795" w:rsidR="002E647C" w:rsidRPr="00A23284" w:rsidRDefault="002E647C" w:rsidP="00C21F24">
            <w:pPr>
              <w:pStyle w:val="Level2"/>
              <w:numPr>
                <w:ilvl w:val="0"/>
                <w:numId w:val="0"/>
              </w:numPr>
              <w:rPr>
                <w:i/>
              </w:rPr>
            </w:pPr>
          </w:p>
        </w:tc>
        <w:tc>
          <w:tcPr>
            <w:tcW w:w="2558" w:type="dxa"/>
            <w:tcBorders>
              <w:top w:val="single" w:sz="12" w:space="0" w:color="000000"/>
              <w:bottom w:val="single" w:sz="12" w:space="0" w:color="000000"/>
            </w:tcBorders>
            <w:shd w:val="clear" w:color="auto" w:fill="auto"/>
          </w:tcPr>
          <w:p w14:paraId="30146DC3" w14:textId="77777777" w:rsidR="002E647C" w:rsidRPr="005A6E69" w:rsidRDefault="002E647C" w:rsidP="00C21F24">
            <w:pPr>
              <w:rPr>
                <w:rFonts w:cs="Arial"/>
                <w:smallCaps/>
              </w:rPr>
            </w:pPr>
          </w:p>
        </w:tc>
      </w:tr>
      <w:tr w:rsidR="002E647C" w:rsidRPr="005A6E69" w14:paraId="35553EF4" w14:textId="77777777" w:rsidTr="00C21F24">
        <w:trPr>
          <w:cantSplit/>
          <w:jc w:val="center"/>
        </w:trPr>
        <w:tc>
          <w:tcPr>
            <w:tcW w:w="1209" w:type="dxa"/>
            <w:tcBorders>
              <w:top w:val="single" w:sz="12" w:space="0" w:color="000000"/>
              <w:bottom w:val="single" w:sz="12" w:space="0" w:color="000000"/>
            </w:tcBorders>
            <w:shd w:val="clear" w:color="auto" w:fill="auto"/>
          </w:tcPr>
          <w:p w14:paraId="5B70B3FE" w14:textId="77777777" w:rsidR="002E647C" w:rsidRPr="005A6E69" w:rsidRDefault="002E647C" w:rsidP="00C21F24">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14:paraId="0DB5EF2B" w14:textId="77777777" w:rsidR="002E647C" w:rsidRPr="005A6E69" w:rsidRDefault="002E647C" w:rsidP="00C21F24">
            <w:pPr>
              <w:pStyle w:val="Level1"/>
            </w:pPr>
            <w:r w:rsidRPr="005A6E69">
              <w:t>Programs to Alleviate Poverty</w:t>
            </w:r>
          </w:p>
          <w:p w14:paraId="17A4FA92" w14:textId="77777777" w:rsidR="002E647C" w:rsidRPr="005A6E69" w:rsidRDefault="002E647C" w:rsidP="00C21F24">
            <w:pPr>
              <w:pStyle w:val="Level2"/>
            </w:pPr>
            <w:r w:rsidRPr="005A6E69">
              <w:t>EITC, TANF, SNAP, Medicaid</w:t>
            </w:r>
            <w:r>
              <w:t>, Homeless services</w:t>
            </w:r>
          </w:p>
          <w:p w14:paraId="2F2D847D" w14:textId="77777777" w:rsidR="002E647C" w:rsidRPr="005A6E69" w:rsidRDefault="002E647C" w:rsidP="00C21F24">
            <w:pPr>
              <w:pStyle w:val="Level3"/>
            </w:pPr>
            <w:r w:rsidRPr="005A6E69">
              <w:t>History</w:t>
            </w:r>
          </w:p>
          <w:p w14:paraId="004073E6" w14:textId="77777777" w:rsidR="002E647C" w:rsidRPr="005A6E69" w:rsidRDefault="002E647C" w:rsidP="00C21F24">
            <w:pPr>
              <w:pStyle w:val="Level3"/>
            </w:pPr>
            <w:r w:rsidRPr="005A6E69">
              <w:t>Scope of need</w:t>
            </w:r>
          </w:p>
          <w:p w14:paraId="43AAF2C8" w14:textId="77777777" w:rsidR="002E647C" w:rsidRPr="005A6E69" w:rsidRDefault="002E647C" w:rsidP="00C21F24">
            <w:pPr>
              <w:pStyle w:val="Level3"/>
            </w:pPr>
            <w:r w:rsidRPr="005A6E69">
              <w:t>Adequacy of programs</w:t>
            </w:r>
          </w:p>
          <w:p w14:paraId="36A7055F" w14:textId="77777777" w:rsidR="002E647C" w:rsidRDefault="002E647C" w:rsidP="00C21F24">
            <w:pPr>
              <w:pStyle w:val="Level3"/>
            </w:pPr>
            <w:r w:rsidRPr="005A6E69">
              <w:t>Role of social workers</w:t>
            </w:r>
          </w:p>
          <w:p w14:paraId="1030AD4A" w14:textId="67AEC421" w:rsidR="002E647C" w:rsidRPr="005A6E69" w:rsidRDefault="002E647C" w:rsidP="002E647C">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74AE73" w14:textId="77777777" w:rsidR="002E647C" w:rsidRPr="005A6E69" w:rsidRDefault="002E647C" w:rsidP="00C21F24">
            <w:pPr>
              <w:rPr>
                <w:rFonts w:cs="Arial"/>
              </w:rPr>
            </w:pPr>
          </w:p>
        </w:tc>
      </w:tr>
      <w:tr w:rsidR="002E647C" w:rsidRPr="005A6E69" w14:paraId="4716EEF5" w14:textId="77777777" w:rsidTr="00C21F24">
        <w:trPr>
          <w:cantSplit/>
          <w:trHeight w:val="417"/>
          <w:jc w:val="center"/>
        </w:trPr>
        <w:tc>
          <w:tcPr>
            <w:tcW w:w="1209" w:type="dxa"/>
            <w:tcBorders>
              <w:top w:val="single" w:sz="12" w:space="0" w:color="000000"/>
              <w:bottom w:val="single" w:sz="12" w:space="0" w:color="000000"/>
            </w:tcBorders>
            <w:shd w:val="clear" w:color="auto" w:fill="auto"/>
          </w:tcPr>
          <w:p w14:paraId="225CF3EE" w14:textId="77777777" w:rsidR="002E647C" w:rsidRPr="005A6E69" w:rsidRDefault="002E647C" w:rsidP="00C21F24">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14:paraId="6306AA68" w14:textId="77777777" w:rsidR="002E647C" w:rsidRDefault="002E647C" w:rsidP="00C21F24">
            <w:pPr>
              <w:pStyle w:val="Level1"/>
            </w:pPr>
            <w:r>
              <w:t xml:space="preserve">Paying for </w:t>
            </w:r>
            <w:r w:rsidRPr="005A6E69">
              <w:t>Means-tested Programs</w:t>
            </w:r>
          </w:p>
          <w:p w14:paraId="11C4336C" w14:textId="77777777" w:rsidR="002E647C" w:rsidRPr="005A6E69" w:rsidRDefault="002E647C" w:rsidP="00C21F24">
            <w:pPr>
              <w:pStyle w:val="Level2"/>
            </w:pPr>
            <w:r w:rsidRPr="005A6E69">
              <w:t>EITC, TANF, SNAP, Medicaid</w:t>
            </w:r>
          </w:p>
          <w:p w14:paraId="2EF56F55" w14:textId="77777777" w:rsidR="002E647C" w:rsidRPr="005A6E69" w:rsidRDefault="002E647C" w:rsidP="00C21F24">
            <w:pPr>
              <w:pStyle w:val="Level3"/>
            </w:pPr>
            <w:r w:rsidRPr="005A6E69">
              <w:t>Funding levels</w:t>
            </w:r>
          </w:p>
          <w:p w14:paraId="18BCD318" w14:textId="77777777" w:rsidR="002E647C" w:rsidRPr="005A6E69" w:rsidRDefault="002E647C" w:rsidP="00C21F24">
            <w:pPr>
              <w:pStyle w:val="Level3"/>
            </w:pPr>
            <w:r w:rsidRPr="005A6E69">
              <w:t>Fairness of financing compared with need</w:t>
            </w:r>
          </w:p>
          <w:p w14:paraId="70C9D8D9" w14:textId="77777777" w:rsidR="002E647C" w:rsidRDefault="002E647C" w:rsidP="00C21F24">
            <w:pPr>
              <w:pStyle w:val="Level3"/>
            </w:pPr>
            <w:r w:rsidRPr="005A6E69">
              <w:t>Role of social workers</w:t>
            </w:r>
          </w:p>
          <w:p w14:paraId="1EFAF093" w14:textId="4DF2A5A7" w:rsidR="002E647C" w:rsidRPr="005A6E69" w:rsidRDefault="002E647C" w:rsidP="002E647C">
            <w:pPr>
              <w:pStyle w:val="Level3"/>
              <w:numPr>
                <w:ilvl w:val="0"/>
                <w:numId w:val="0"/>
              </w:numPr>
              <w:ind w:left="972"/>
            </w:pPr>
            <w:r w:rsidRPr="005A6E69">
              <w:t xml:space="preserve"> </w:t>
            </w:r>
          </w:p>
        </w:tc>
        <w:tc>
          <w:tcPr>
            <w:tcW w:w="2558" w:type="dxa"/>
            <w:tcBorders>
              <w:top w:val="single" w:sz="12" w:space="0" w:color="000000"/>
              <w:bottom w:val="single" w:sz="12" w:space="0" w:color="000000"/>
            </w:tcBorders>
            <w:shd w:val="clear" w:color="auto" w:fill="auto"/>
          </w:tcPr>
          <w:p w14:paraId="1BEBFB5D" w14:textId="77777777" w:rsidR="002E647C" w:rsidRPr="005A6E69" w:rsidRDefault="002E647C" w:rsidP="00C21F24">
            <w:pPr>
              <w:rPr>
                <w:rFonts w:cs="Arial"/>
              </w:rPr>
            </w:pPr>
          </w:p>
        </w:tc>
      </w:tr>
      <w:tr w:rsidR="002E647C" w:rsidRPr="005A6E69" w14:paraId="6FAFE958" w14:textId="77777777" w:rsidTr="00C21F24">
        <w:trPr>
          <w:cantSplit/>
          <w:jc w:val="center"/>
        </w:trPr>
        <w:tc>
          <w:tcPr>
            <w:tcW w:w="1209" w:type="dxa"/>
            <w:tcBorders>
              <w:top w:val="single" w:sz="12" w:space="0" w:color="000000"/>
              <w:bottom w:val="single" w:sz="12" w:space="0" w:color="000000"/>
            </w:tcBorders>
            <w:shd w:val="clear" w:color="auto" w:fill="auto"/>
          </w:tcPr>
          <w:p w14:paraId="55DA147B" w14:textId="77777777" w:rsidR="002E647C" w:rsidRPr="005A6E69" w:rsidRDefault="002E647C" w:rsidP="00C21F24">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14:paraId="2A50869B" w14:textId="77777777" w:rsidR="002E647C" w:rsidRDefault="002E647C" w:rsidP="00C21F24">
            <w:pPr>
              <w:pStyle w:val="Level1"/>
            </w:pPr>
            <w:r w:rsidRPr="005A6E69">
              <w:t>The Power of Advocacy</w:t>
            </w:r>
            <w:r>
              <w:t>: Writing, Speaking, and Activism</w:t>
            </w:r>
          </w:p>
          <w:p w14:paraId="6E48AC91" w14:textId="77777777" w:rsidR="002E647C" w:rsidRDefault="002E647C" w:rsidP="00C21F24">
            <w:pPr>
              <w:pStyle w:val="Level2"/>
            </w:pPr>
            <w:r>
              <w:t>Examples of activism</w:t>
            </w:r>
          </w:p>
          <w:p w14:paraId="751122B8" w14:textId="77777777" w:rsidR="002E647C" w:rsidRDefault="002E647C" w:rsidP="00C21F24">
            <w:pPr>
              <w:pStyle w:val="Level2"/>
            </w:pPr>
            <w:r>
              <w:t>Communication</w:t>
            </w:r>
          </w:p>
          <w:p w14:paraId="2D6DEA5A" w14:textId="77777777" w:rsidR="002E647C" w:rsidRPr="005A6E69" w:rsidRDefault="002E647C" w:rsidP="00C21F24">
            <w:pPr>
              <w:pStyle w:val="Level2"/>
            </w:pPr>
            <w:r>
              <w:t xml:space="preserve">Supporting Your Assertions and Assessing Policy </w:t>
            </w:r>
          </w:p>
          <w:p w14:paraId="6CC43BC2" w14:textId="77777777" w:rsidR="002E647C" w:rsidRDefault="002E647C" w:rsidP="00C21F24">
            <w:pPr>
              <w:pStyle w:val="Level3"/>
              <w:numPr>
                <w:ilvl w:val="0"/>
                <w:numId w:val="0"/>
              </w:numPr>
            </w:pPr>
            <w:r>
              <w:t xml:space="preserve">    </w:t>
            </w:r>
          </w:p>
          <w:p w14:paraId="3F35831A" w14:textId="77777777" w:rsidR="002E647C" w:rsidRDefault="002E647C" w:rsidP="00C21F24">
            <w:pPr>
              <w:pStyle w:val="Level3"/>
              <w:numPr>
                <w:ilvl w:val="0"/>
                <w:numId w:val="0"/>
              </w:numPr>
              <w:rPr>
                <w:i/>
              </w:rPr>
            </w:pPr>
            <w:r w:rsidRPr="00A23284">
              <w:rPr>
                <w:i/>
              </w:rPr>
              <w:t>1</w:t>
            </w:r>
            <w:r w:rsidRPr="00A23284">
              <w:rPr>
                <w:i/>
                <w:vertAlign w:val="superscript"/>
              </w:rPr>
              <w:t>st</w:t>
            </w:r>
            <w:r w:rsidRPr="00A23284">
              <w:rPr>
                <w:i/>
              </w:rPr>
              <w:t xml:space="preserve"> assignment is due; 2</w:t>
            </w:r>
            <w:r w:rsidRPr="00A23284">
              <w:rPr>
                <w:i/>
                <w:vertAlign w:val="superscript"/>
              </w:rPr>
              <w:t>nd</w:t>
            </w:r>
            <w:r w:rsidRPr="00A23284">
              <w:rPr>
                <w:i/>
              </w:rPr>
              <w:t xml:space="preserve"> assignment handed out      </w:t>
            </w:r>
          </w:p>
          <w:p w14:paraId="02F35F94" w14:textId="77777777" w:rsidR="002E647C" w:rsidRDefault="002E647C" w:rsidP="00C21F24">
            <w:pPr>
              <w:pStyle w:val="Level3"/>
              <w:numPr>
                <w:ilvl w:val="0"/>
                <w:numId w:val="0"/>
              </w:numPr>
              <w:rPr>
                <w:i/>
              </w:rPr>
            </w:pPr>
          </w:p>
          <w:p w14:paraId="4DA67028" w14:textId="77777777" w:rsidR="002E647C" w:rsidRDefault="002E647C" w:rsidP="00C21F24">
            <w:pPr>
              <w:pStyle w:val="Level3"/>
              <w:numPr>
                <w:ilvl w:val="0"/>
                <w:numId w:val="0"/>
              </w:numPr>
              <w:rPr>
                <w:b/>
                <w:i/>
              </w:rPr>
            </w:pPr>
            <w:r w:rsidRPr="003867B1">
              <w:rPr>
                <w:b/>
                <w:i/>
                <w:highlight w:val="yellow"/>
              </w:rPr>
              <w:t>** please also view asynchronous videos in unit 9.4 - 9.7 now as it relates to lobbying and writing for change.</w:t>
            </w:r>
            <w:r w:rsidRPr="009C368B">
              <w:rPr>
                <w:b/>
                <w:i/>
              </w:rPr>
              <w:t xml:space="preserve"> </w:t>
            </w:r>
          </w:p>
          <w:p w14:paraId="05297BA4" w14:textId="77777777" w:rsidR="002E647C" w:rsidRPr="009C368B" w:rsidRDefault="002E647C" w:rsidP="00C21F24">
            <w:pPr>
              <w:pStyle w:val="Level3"/>
              <w:numPr>
                <w:ilvl w:val="0"/>
                <w:numId w:val="0"/>
              </w:numPr>
              <w:rPr>
                <w:b/>
                <w:i/>
              </w:rPr>
            </w:pPr>
          </w:p>
        </w:tc>
        <w:tc>
          <w:tcPr>
            <w:tcW w:w="2558" w:type="dxa"/>
            <w:tcBorders>
              <w:top w:val="single" w:sz="12" w:space="0" w:color="000000"/>
              <w:bottom w:val="single" w:sz="12" w:space="0" w:color="000000"/>
            </w:tcBorders>
            <w:shd w:val="clear" w:color="auto" w:fill="auto"/>
          </w:tcPr>
          <w:p w14:paraId="2378E32D" w14:textId="77777777" w:rsidR="002E647C" w:rsidRPr="005A6E69" w:rsidRDefault="002E647C" w:rsidP="00C21F24">
            <w:pPr>
              <w:rPr>
                <w:rFonts w:cs="Arial"/>
                <w:bCs/>
              </w:rPr>
            </w:pPr>
          </w:p>
        </w:tc>
      </w:tr>
      <w:tr w:rsidR="002E647C" w:rsidRPr="005A6E69" w14:paraId="5C19B648" w14:textId="77777777" w:rsidTr="00C21F24">
        <w:trPr>
          <w:cantSplit/>
          <w:jc w:val="center"/>
        </w:trPr>
        <w:tc>
          <w:tcPr>
            <w:tcW w:w="1209" w:type="dxa"/>
            <w:tcBorders>
              <w:top w:val="single" w:sz="12" w:space="0" w:color="000000"/>
              <w:bottom w:val="single" w:sz="12" w:space="0" w:color="000000"/>
            </w:tcBorders>
            <w:shd w:val="clear" w:color="auto" w:fill="auto"/>
          </w:tcPr>
          <w:p w14:paraId="4A97D76B" w14:textId="77777777" w:rsidR="002E647C" w:rsidRPr="005A6E69" w:rsidRDefault="002E647C" w:rsidP="00C21F24">
            <w:pPr>
              <w:jc w:val="center"/>
              <w:rPr>
                <w:rFonts w:cs="Arial"/>
                <w:b/>
                <w:bCs/>
                <w:szCs w:val="24"/>
              </w:rPr>
            </w:pPr>
            <w:r w:rsidRPr="005A6E69">
              <w:rPr>
                <w:rFonts w:cs="Arial"/>
                <w:b/>
                <w:bCs/>
                <w:szCs w:val="24"/>
              </w:rPr>
              <w:lastRenderedPageBreak/>
              <w:t>5</w:t>
            </w:r>
          </w:p>
        </w:tc>
        <w:tc>
          <w:tcPr>
            <w:tcW w:w="6030" w:type="dxa"/>
            <w:tcBorders>
              <w:top w:val="single" w:sz="12" w:space="0" w:color="000000"/>
              <w:bottom w:val="single" w:sz="12" w:space="0" w:color="000000"/>
            </w:tcBorders>
            <w:shd w:val="clear" w:color="auto" w:fill="auto"/>
          </w:tcPr>
          <w:p w14:paraId="3E3006DA" w14:textId="77777777" w:rsidR="002E647C" w:rsidRPr="005A6E69" w:rsidRDefault="002E647C" w:rsidP="00C21F24">
            <w:pPr>
              <w:pStyle w:val="Level1"/>
            </w:pPr>
            <w:r w:rsidRPr="005A6E69">
              <w:t xml:space="preserve">Insurances </w:t>
            </w:r>
            <w:r>
              <w:t xml:space="preserve">and Programs </w:t>
            </w:r>
            <w:r w:rsidRPr="005A6E69">
              <w:t>to Create Security</w:t>
            </w:r>
          </w:p>
          <w:p w14:paraId="5383B103" w14:textId="77777777" w:rsidR="002E647C" w:rsidRPr="005A6E69" w:rsidRDefault="002E647C" w:rsidP="00C21F24">
            <w:pPr>
              <w:pStyle w:val="Level2"/>
            </w:pPr>
            <w:r w:rsidRPr="005A6E69">
              <w:t>Social Security, SSI, Disability, Unemployment Insurance</w:t>
            </w:r>
            <w:r>
              <w:t>, Affordable Housing</w:t>
            </w:r>
          </w:p>
          <w:p w14:paraId="7E2A956E" w14:textId="77777777" w:rsidR="002E647C" w:rsidRPr="00C070D8" w:rsidRDefault="002E647C" w:rsidP="00C21F24">
            <w:pPr>
              <w:pStyle w:val="Level3"/>
              <w:rPr>
                <w:szCs w:val="20"/>
              </w:rPr>
            </w:pPr>
            <w:r w:rsidRPr="00C070D8">
              <w:rPr>
                <w:szCs w:val="20"/>
              </w:rPr>
              <w:t>History: Security as the Goal</w:t>
            </w:r>
          </w:p>
          <w:p w14:paraId="42B398E4" w14:textId="77777777" w:rsidR="002E647C" w:rsidRPr="00C070D8" w:rsidRDefault="002E647C" w:rsidP="00C21F24">
            <w:pPr>
              <w:pStyle w:val="Level3"/>
              <w:rPr>
                <w:szCs w:val="20"/>
              </w:rPr>
            </w:pPr>
            <w:r w:rsidRPr="00C070D8">
              <w:rPr>
                <w:szCs w:val="20"/>
              </w:rPr>
              <w:t>The Creation of Poverty</w:t>
            </w:r>
          </w:p>
          <w:p w14:paraId="7EFD4D73" w14:textId="77777777" w:rsidR="002E647C" w:rsidRPr="00C070D8" w:rsidRDefault="002E647C" w:rsidP="00C21F24">
            <w:pPr>
              <w:pStyle w:val="Level3"/>
              <w:rPr>
                <w:szCs w:val="20"/>
              </w:rPr>
            </w:pPr>
            <w:r w:rsidRPr="00C070D8">
              <w:rPr>
                <w:szCs w:val="20"/>
              </w:rPr>
              <w:t>Why Income Disparity Matters</w:t>
            </w:r>
          </w:p>
          <w:p w14:paraId="569120D3" w14:textId="77777777" w:rsidR="002E647C" w:rsidRPr="00C070D8" w:rsidRDefault="002E647C" w:rsidP="00C21F24">
            <w:pPr>
              <w:pStyle w:val="Level3"/>
              <w:rPr>
                <w:szCs w:val="20"/>
              </w:rPr>
            </w:pPr>
            <w:r w:rsidRPr="00C070D8">
              <w:rPr>
                <w:szCs w:val="20"/>
              </w:rPr>
              <w:t>Scope of need</w:t>
            </w:r>
          </w:p>
          <w:p w14:paraId="18A515CC" w14:textId="77777777" w:rsidR="002E647C" w:rsidRDefault="002E647C" w:rsidP="00C21F24">
            <w:pPr>
              <w:pStyle w:val="Level3"/>
              <w:rPr>
                <w:szCs w:val="20"/>
              </w:rPr>
            </w:pPr>
            <w:r w:rsidRPr="00C070D8">
              <w:rPr>
                <w:szCs w:val="20"/>
              </w:rPr>
              <w:t>Adequacy of programs</w:t>
            </w:r>
          </w:p>
          <w:p w14:paraId="1041F01B" w14:textId="77777777" w:rsidR="002E647C" w:rsidRDefault="002E647C" w:rsidP="00C21F24">
            <w:pPr>
              <w:pStyle w:val="Level3"/>
              <w:rPr>
                <w:szCs w:val="20"/>
              </w:rPr>
            </w:pPr>
            <w:r w:rsidRPr="00C070D8">
              <w:rPr>
                <w:szCs w:val="20"/>
              </w:rPr>
              <w:t>Role of social workers</w:t>
            </w:r>
          </w:p>
          <w:p w14:paraId="4CA4E9BD" w14:textId="77777777" w:rsidR="002E647C" w:rsidRPr="00C070D8" w:rsidRDefault="002E647C" w:rsidP="00C21F24">
            <w:pPr>
              <w:pStyle w:val="Level3"/>
              <w:numPr>
                <w:ilvl w:val="0"/>
                <w:numId w:val="0"/>
              </w:numPr>
              <w:ind w:left="972"/>
              <w:rPr>
                <w:szCs w:val="20"/>
              </w:rPr>
            </w:pPr>
          </w:p>
        </w:tc>
        <w:tc>
          <w:tcPr>
            <w:tcW w:w="2558" w:type="dxa"/>
            <w:tcBorders>
              <w:top w:val="single" w:sz="12" w:space="0" w:color="000000"/>
              <w:bottom w:val="single" w:sz="12" w:space="0" w:color="000000"/>
            </w:tcBorders>
            <w:shd w:val="clear" w:color="auto" w:fill="auto"/>
          </w:tcPr>
          <w:p w14:paraId="6DA7DEC2" w14:textId="77777777" w:rsidR="002E647C" w:rsidRPr="005A6E69" w:rsidRDefault="002E647C" w:rsidP="00C21F24">
            <w:pPr>
              <w:rPr>
                <w:rFonts w:cs="Arial"/>
                <w:bCs/>
              </w:rPr>
            </w:pPr>
          </w:p>
        </w:tc>
      </w:tr>
      <w:tr w:rsidR="002E647C" w:rsidRPr="005A6E69" w14:paraId="543DE07B" w14:textId="77777777" w:rsidTr="00C21F24">
        <w:trPr>
          <w:cantSplit/>
          <w:jc w:val="center"/>
        </w:trPr>
        <w:tc>
          <w:tcPr>
            <w:tcW w:w="1209" w:type="dxa"/>
            <w:tcBorders>
              <w:top w:val="single" w:sz="12" w:space="0" w:color="000000"/>
              <w:bottom w:val="single" w:sz="12" w:space="0" w:color="000000"/>
            </w:tcBorders>
            <w:shd w:val="clear" w:color="auto" w:fill="auto"/>
          </w:tcPr>
          <w:p w14:paraId="6172C118" w14:textId="77777777" w:rsidR="002E647C" w:rsidRPr="005A6E69" w:rsidRDefault="002E647C" w:rsidP="00C21F24">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14:paraId="0A66A6DD" w14:textId="77777777" w:rsidR="002E647C" w:rsidRPr="002B3750" w:rsidRDefault="002E647C" w:rsidP="002E647C">
            <w:pPr>
              <w:pStyle w:val="Heading5"/>
              <w:keepLines w:val="0"/>
              <w:numPr>
                <w:ilvl w:val="0"/>
                <w:numId w:val="11"/>
              </w:numPr>
              <w:spacing w:before="0" w:line="240" w:lineRule="auto"/>
              <w:rPr>
                <w:rFonts w:ascii="Arial" w:hAnsi="Arial" w:cs="Arial"/>
                <w:color w:val="auto"/>
                <w:sz w:val="20"/>
                <w:szCs w:val="20"/>
              </w:rPr>
            </w:pPr>
            <w:r w:rsidRPr="002B3750">
              <w:rPr>
                <w:rFonts w:ascii="Arial" w:hAnsi="Arial" w:cs="Arial"/>
                <w:color w:val="auto"/>
                <w:sz w:val="20"/>
                <w:szCs w:val="20"/>
              </w:rPr>
              <w:t>Paying for Security</w:t>
            </w:r>
          </w:p>
          <w:p w14:paraId="1F1C2A67" w14:textId="77777777" w:rsidR="002E647C" w:rsidRDefault="002E647C" w:rsidP="00C21F24">
            <w:pPr>
              <w:pStyle w:val="Level2"/>
            </w:pPr>
            <w:r w:rsidRPr="005A6E69">
              <w:t>Social Security, SSI, Disability, U</w:t>
            </w:r>
            <w:r>
              <w:t>I, Minimum Wages</w:t>
            </w:r>
          </w:p>
          <w:p w14:paraId="16937B26" w14:textId="77777777" w:rsidR="002E647C" w:rsidRDefault="002E647C" w:rsidP="00C21F24">
            <w:pPr>
              <w:pStyle w:val="Level3"/>
            </w:pPr>
            <w:r>
              <w:t xml:space="preserve">How does Social Security Work? </w:t>
            </w:r>
          </w:p>
          <w:p w14:paraId="32E83074" w14:textId="77777777" w:rsidR="002E647C" w:rsidRPr="005A6E69" w:rsidRDefault="002E647C" w:rsidP="00C21F24">
            <w:pPr>
              <w:pStyle w:val="Level3"/>
            </w:pPr>
            <w:r w:rsidRPr="005A6E69">
              <w:t>Funding levels</w:t>
            </w:r>
          </w:p>
          <w:p w14:paraId="1097AF34" w14:textId="77777777" w:rsidR="002E647C" w:rsidRPr="005A6E69" w:rsidRDefault="002E647C" w:rsidP="00C21F24">
            <w:pPr>
              <w:pStyle w:val="Level3"/>
            </w:pPr>
            <w:r w:rsidRPr="005A6E69">
              <w:t>Fairness of financing compared with need</w:t>
            </w:r>
          </w:p>
          <w:p w14:paraId="2629284C" w14:textId="77777777" w:rsidR="002E647C" w:rsidRDefault="002E647C" w:rsidP="00C21F24">
            <w:pPr>
              <w:pStyle w:val="Level3"/>
            </w:pPr>
            <w:r w:rsidRPr="005A6E69">
              <w:t>Role of social workers</w:t>
            </w:r>
          </w:p>
          <w:p w14:paraId="13FBAD40" w14:textId="77777777" w:rsidR="002E647C" w:rsidRPr="005A6E69" w:rsidRDefault="002E647C" w:rsidP="00C21F24">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9322839" w14:textId="77777777" w:rsidR="002E647C" w:rsidRPr="005A6E69" w:rsidRDefault="002E647C" w:rsidP="00C21F24">
            <w:pPr>
              <w:rPr>
                <w:rFonts w:cs="Arial"/>
              </w:rPr>
            </w:pPr>
          </w:p>
        </w:tc>
      </w:tr>
      <w:tr w:rsidR="002E647C" w:rsidRPr="005A6E69" w14:paraId="09B18EEC" w14:textId="77777777" w:rsidTr="00C21F24">
        <w:trPr>
          <w:cantSplit/>
          <w:jc w:val="center"/>
        </w:trPr>
        <w:tc>
          <w:tcPr>
            <w:tcW w:w="1209" w:type="dxa"/>
            <w:tcBorders>
              <w:top w:val="single" w:sz="12" w:space="0" w:color="000000"/>
              <w:bottom w:val="single" w:sz="12" w:space="0" w:color="000000"/>
            </w:tcBorders>
            <w:shd w:val="clear" w:color="auto" w:fill="auto"/>
          </w:tcPr>
          <w:p w14:paraId="64D9BD5A" w14:textId="77777777" w:rsidR="002E647C" w:rsidRPr="005A6E69" w:rsidRDefault="002E647C" w:rsidP="00C21F24">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14:paraId="10420A67" w14:textId="77777777" w:rsidR="002E647C" w:rsidRPr="005A6E69" w:rsidRDefault="002E647C" w:rsidP="00C21F24">
            <w:pPr>
              <w:pStyle w:val="Level1"/>
            </w:pPr>
            <w:r w:rsidRPr="005A6E69">
              <w:t>Physical Health: Medicare, Affordable Care Act</w:t>
            </w:r>
            <w:r>
              <w:t>, and Getting on Agendas</w:t>
            </w:r>
          </w:p>
          <w:p w14:paraId="5095C9B0" w14:textId="77777777" w:rsidR="002E647C" w:rsidRPr="005A6E69" w:rsidRDefault="002E647C" w:rsidP="00C21F24">
            <w:pPr>
              <w:pStyle w:val="Level3"/>
            </w:pPr>
            <w:r w:rsidRPr="005A6E69">
              <w:t>History</w:t>
            </w:r>
          </w:p>
          <w:p w14:paraId="1D674E97" w14:textId="77777777" w:rsidR="002E647C" w:rsidRPr="005A6E69" w:rsidRDefault="002E647C" w:rsidP="00C21F24">
            <w:pPr>
              <w:pStyle w:val="Level3"/>
            </w:pPr>
            <w:r w:rsidRPr="005A6E69">
              <w:t>Scope of need</w:t>
            </w:r>
          </w:p>
          <w:p w14:paraId="1F3EAEAE" w14:textId="77777777" w:rsidR="002E647C" w:rsidRDefault="002E647C" w:rsidP="00C21F24">
            <w:pPr>
              <w:pStyle w:val="Level3"/>
            </w:pPr>
            <w:r w:rsidRPr="005A6E69">
              <w:t>Adequacy of programs / ACA reforms</w:t>
            </w:r>
          </w:p>
          <w:p w14:paraId="42C0090D" w14:textId="77777777" w:rsidR="002E647C" w:rsidRDefault="002E647C" w:rsidP="00C21F24">
            <w:pPr>
              <w:pStyle w:val="Level3"/>
            </w:pPr>
            <w:r>
              <w:t>What Does Our Health Care System Look Like?</w:t>
            </w:r>
          </w:p>
          <w:p w14:paraId="5C280845" w14:textId="77777777" w:rsidR="002E647C" w:rsidRDefault="002E647C" w:rsidP="00C21F24">
            <w:pPr>
              <w:pStyle w:val="Level3"/>
            </w:pPr>
            <w:r>
              <w:t>Unit 7.5 Video: Sicko</w:t>
            </w:r>
          </w:p>
          <w:p w14:paraId="06D22306" w14:textId="77777777" w:rsidR="002E647C" w:rsidRPr="005A6E69" w:rsidRDefault="002E647C" w:rsidP="00C21F24">
            <w:pPr>
              <w:pStyle w:val="Level3"/>
            </w:pPr>
            <w:r>
              <w:t>Building Agendas with Bruce Jansson: Getting on the Agenda</w:t>
            </w:r>
          </w:p>
          <w:p w14:paraId="46965C7E" w14:textId="77777777" w:rsidR="002E647C" w:rsidRDefault="002E647C" w:rsidP="00C21F24">
            <w:pPr>
              <w:pStyle w:val="Level3"/>
            </w:pPr>
            <w:r w:rsidRPr="005A6E69">
              <w:t>Role of social workers</w:t>
            </w:r>
          </w:p>
          <w:p w14:paraId="11673A46" w14:textId="77777777" w:rsidR="002E647C" w:rsidRPr="005A6E69" w:rsidRDefault="002E647C" w:rsidP="00C21F24">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0334381" w14:textId="77777777" w:rsidR="002E647C" w:rsidRPr="005A6E69" w:rsidRDefault="002E647C" w:rsidP="00C21F24">
            <w:pPr>
              <w:rPr>
                <w:rFonts w:cs="Arial"/>
              </w:rPr>
            </w:pPr>
          </w:p>
        </w:tc>
      </w:tr>
      <w:tr w:rsidR="002E647C" w:rsidRPr="005A6E69" w14:paraId="32C86AC8" w14:textId="77777777" w:rsidTr="00C21F24">
        <w:trPr>
          <w:cantSplit/>
          <w:jc w:val="center"/>
        </w:trPr>
        <w:tc>
          <w:tcPr>
            <w:tcW w:w="1209" w:type="dxa"/>
            <w:tcBorders>
              <w:top w:val="single" w:sz="12" w:space="0" w:color="000000"/>
              <w:bottom w:val="single" w:sz="12" w:space="0" w:color="000000"/>
            </w:tcBorders>
            <w:shd w:val="clear" w:color="auto" w:fill="auto"/>
          </w:tcPr>
          <w:p w14:paraId="7BC4AC27" w14:textId="77777777" w:rsidR="002E647C" w:rsidRPr="005A6E69" w:rsidRDefault="002E647C" w:rsidP="00C21F24">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14:paraId="430D4BC1" w14:textId="77777777" w:rsidR="002E647C" w:rsidRPr="005A6E69" w:rsidRDefault="002E647C" w:rsidP="00C21F24">
            <w:pPr>
              <w:pStyle w:val="Level1"/>
            </w:pPr>
            <w:r w:rsidRPr="005A6E69">
              <w:t>Behavioral Health: Medicare, Affordable Care Act</w:t>
            </w:r>
          </w:p>
          <w:p w14:paraId="7020010E" w14:textId="77777777" w:rsidR="002E647C" w:rsidRDefault="002E647C" w:rsidP="00C21F24">
            <w:pPr>
              <w:pStyle w:val="Level3"/>
            </w:pPr>
            <w:r>
              <w:t>Historical Overview of Mental Health in the United States</w:t>
            </w:r>
          </w:p>
          <w:p w14:paraId="16D55D0A" w14:textId="77777777" w:rsidR="002E647C" w:rsidRDefault="002E647C" w:rsidP="00C21F24">
            <w:pPr>
              <w:pStyle w:val="Level3"/>
            </w:pPr>
            <w:r>
              <w:t xml:space="preserve">Mental Health Today with required readings presenting data through 2020 </w:t>
            </w:r>
          </w:p>
          <w:p w14:paraId="125F124A" w14:textId="77777777" w:rsidR="002E647C" w:rsidRDefault="002E647C" w:rsidP="00C21F24">
            <w:pPr>
              <w:pStyle w:val="Level3"/>
            </w:pPr>
            <w:r w:rsidRPr="005A6E69">
              <w:t>Role of social workers</w:t>
            </w:r>
          </w:p>
          <w:p w14:paraId="644D6990" w14:textId="77777777" w:rsidR="002E647C" w:rsidRDefault="002E647C" w:rsidP="00C21F24">
            <w:pPr>
              <w:pStyle w:val="Level3"/>
              <w:numPr>
                <w:ilvl w:val="0"/>
                <w:numId w:val="0"/>
              </w:numPr>
              <w:ind w:left="972"/>
            </w:pPr>
          </w:p>
          <w:p w14:paraId="08D79A80" w14:textId="77777777" w:rsidR="002E647C" w:rsidRPr="005A6E69" w:rsidRDefault="002E647C" w:rsidP="00C21F24">
            <w:pPr>
              <w:pStyle w:val="Level1"/>
              <w:numPr>
                <w:ilvl w:val="0"/>
                <w:numId w:val="0"/>
              </w:numPr>
            </w:pPr>
          </w:p>
        </w:tc>
        <w:tc>
          <w:tcPr>
            <w:tcW w:w="2558" w:type="dxa"/>
            <w:tcBorders>
              <w:top w:val="single" w:sz="12" w:space="0" w:color="000000"/>
              <w:bottom w:val="single" w:sz="12" w:space="0" w:color="000000"/>
            </w:tcBorders>
            <w:shd w:val="clear" w:color="auto" w:fill="auto"/>
          </w:tcPr>
          <w:p w14:paraId="524EC42A" w14:textId="77777777" w:rsidR="002E647C" w:rsidRPr="005A6E69" w:rsidRDefault="002E647C" w:rsidP="00C21F24">
            <w:pPr>
              <w:rPr>
                <w:rFonts w:cs="Arial"/>
              </w:rPr>
            </w:pPr>
          </w:p>
        </w:tc>
      </w:tr>
      <w:tr w:rsidR="002E647C" w:rsidRPr="005A6E69" w14:paraId="58161B3A" w14:textId="77777777" w:rsidTr="00C21F24">
        <w:trPr>
          <w:cantSplit/>
          <w:jc w:val="center"/>
        </w:trPr>
        <w:tc>
          <w:tcPr>
            <w:tcW w:w="1209" w:type="dxa"/>
            <w:tcBorders>
              <w:top w:val="single" w:sz="12" w:space="0" w:color="000000"/>
              <w:bottom w:val="single" w:sz="12" w:space="0" w:color="000000"/>
            </w:tcBorders>
            <w:shd w:val="clear" w:color="auto" w:fill="auto"/>
          </w:tcPr>
          <w:p w14:paraId="4DB5473C" w14:textId="77777777" w:rsidR="002E647C" w:rsidRPr="005A6E69" w:rsidRDefault="002E647C" w:rsidP="00C21F24">
            <w:pPr>
              <w:jc w:val="center"/>
              <w:rPr>
                <w:rFonts w:cs="Arial"/>
                <w:b/>
                <w:bCs/>
                <w:szCs w:val="24"/>
              </w:rPr>
            </w:pPr>
            <w:r>
              <w:rPr>
                <w:rFonts w:cs="Arial"/>
                <w:b/>
                <w:bCs/>
                <w:szCs w:val="24"/>
              </w:rPr>
              <w:lastRenderedPageBreak/>
              <w:t>9</w:t>
            </w:r>
          </w:p>
        </w:tc>
        <w:tc>
          <w:tcPr>
            <w:tcW w:w="6030" w:type="dxa"/>
            <w:tcBorders>
              <w:top w:val="single" w:sz="12" w:space="0" w:color="000000"/>
              <w:bottom w:val="single" w:sz="12" w:space="0" w:color="000000"/>
            </w:tcBorders>
            <w:shd w:val="clear" w:color="auto" w:fill="auto"/>
          </w:tcPr>
          <w:p w14:paraId="3E7A94B3" w14:textId="77777777" w:rsidR="002E647C" w:rsidRDefault="002E647C" w:rsidP="00C21F24">
            <w:pPr>
              <w:pStyle w:val="Level1"/>
            </w:pPr>
            <w:r w:rsidRPr="003B2E71">
              <w:t>Fiscal System</w:t>
            </w:r>
            <w:r>
              <w:t>s</w:t>
            </w:r>
            <w:r w:rsidRPr="003B2E71">
              <w:t>: Paying for Health</w:t>
            </w:r>
          </w:p>
          <w:p w14:paraId="7FA770F0" w14:textId="77777777" w:rsidR="002E647C" w:rsidRDefault="002E647C" w:rsidP="00C21F24">
            <w:pPr>
              <w:pStyle w:val="Level1"/>
            </w:pPr>
            <w:r>
              <w:t>Health Care Costs in America</w:t>
            </w:r>
          </w:p>
          <w:p w14:paraId="55A4A631" w14:textId="77777777" w:rsidR="002E647C" w:rsidRDefault="002E647C" w:rsidP="00C21F24">
            <w:pPr>
              <w:pStyle w:val="Level1"/>
            </w:pPr>
            <w:r>
              <w:t>Medicare and Medicaid: How They Are Funded</w:t>
            </w:r>
          </w:p>
          <w:p w14:paraId="28887B25" w14:textId="77777777" w:rsidR="002E647C" w:rsidRDefault="002E647C" w:rsidP="00C21F24">
            <w:pPr>
              <w:pStyle w:val="Level1"/>
              <w:tabs>
                <w:tab w:val="clear" w:pos="342"/>
                <w:tab w:val="num" w:pos="360"/>
              </w:tabs>
            </w:pPr>
            <w:r>
              <w:t xml:space="preserve">Unit 9.2 presents trends through 2015, required reading follows trends through 2020, and projections and options currently in discussions on possible future paths. </w:t>
            </w:r>
          </w:p>
          <w:p w14:paraId="16E91003" w14:textId="77777777" w:rsidR="002E647C" w:rsidRDefault="002E647C" w:rsidP="00C21F24">
            <w:pPr>
              <w:pStyle w:val="Level1"/>
            </w:pPr>
            <w:r w:rsidRPr="0093523E">
              <w:t>Medicare and Medicaid: How They Are Funded</w:t>
            </w:r>
          </w:p>
          <w:p w14:paraId="06180734" w14:textId="77777777" w:rsidR="002E647C" w:rsidRDefault="002E647C" w:rsidP="00C21F24">
            <w:pPr>
              <w:pStyle w:val="Level1"/>
              <w:numPr>
                <w:ilvl w:val="0"/>
                <w:numId w:val="0"/>
              </w:numPr>
              <w:ind w:left="346" w:hanging="346"/>
            </w:pPr>
          </w:p>
          <w:p w14:paraId="62D90DA3" w14:textId="77777777" w:rsidR="002E647C" w:rsidRPr="0093523E" w:rsidRDefault="002E647C" w:rsidP="00C21F24">
            <w:pPr>
              <w:pStyle w:val="Level1"/>
              <w:numPr>
                <w:ilvl w:val="0"/>
                <w:numId w:val="0"/>
              </w:numPr>
              <w:ind w:left="346" w:hanging="346"/>
              <w:rPr>
                <w:b/>
              </w:rPr>
            </w:pPr>
            <w:r w:rsidRPr="002E647C">
              <w:rPr>
                <w:b/>
                <w:highlight w:val="yellow"/>
              </w:rPr>
              <w:t>(units 9.4-9.7 are viewed during Unit 4, as stated above)</w:t>
            </w:r>
            <w:r w:rsidRPr="0093523E">
              <w:rPr>
                <w:b/>
              </w:rPr>
              <w:t xml:space="preserve"> </w:t>
            </w:r>
          </w:p>
          <w:p w14:paraId="3BED0573" w14:textId="77777777" w:rsidR="002E647C" w:rsidRDefault="002E647C" w:rsidP="00C21F24">
            <w:pPr>
              <w:pStyle w:val="Level1"/>
              <w:numPr>
                <w:ilvl w:val="0"/>
                <w:numId w:val="0"/>
              </w:numPr>
              <w:ind w:left="346" w:hanging="346"/>
            </w:pPr>
          </w:p>
          <w:p w14:paraId="0EF6E173" w14:textId="77777777" w:rsidR="002E647C" w:rsidRDefault="002E647C" w:rsidP="00C21F24">
            <w:pPr>
              <w:pStyle w:val="Level1"/>
              <w:numPr>
                <w:ilvl w:val="0"/>
                <w:numId w:val="0"/>
              </w:numPr>
              <w:ind w:left="346" w:hanging="346"/>
            </w:pPr>
            <w:r>
              <w:t>2</w:t>
            </w:r>
            <w:r w:rsidRPr="004B62A4">
              <w:rPr>
                <w:vertAlign w:val="superscript"/>
              </w:rPr>
              <w:t>nd</w:t>
            </w:r>
            <w:r>
              <w:t xml:space="preserve"> assignment due, including peer-reviewed i</w:t>
            </w:r>
            <w:r w:rsidRPr="005A6E69">
              <w:t xml:space="preserve">n-class </w:t>
            </w:r>
            <w:r>
              <w:t xml:space="preserve">group </w:t>
            </w:r>
            <w:r w:rsidRPr="005A6E69">
              <w:t>presentations</w:t>
            </w:r>
          </w:p>
          <w:p w14:paraId="3033B5FF" w14:textId="77777777" w:rsidR="002E647C" w:rsidRDefault="002E647C" w:rsidP="00C21F24">
            <w:pPr>
              <w:pStyle w:val="Level1"/>
              <w:numPr>
                <w:ilvl w:val="0"/>
                <w:numId w:val="0"/>
              </w:numPr>
              <w:ind w:left="346" w:hanging="346"/>
            </w:pPr>
            <w:r w:rsidRPr="004B62A4">
              <w:rPr>
                <w:i/>
              </w:rPr>
              <w:t>3</w:t>
            </w:r>
            <w:r w:rsidRPr="004B62A4">
              <w:rPr>
                <w:i/>
                <w:vertAlign w:val="superscript"/>
              </w:rPr>
              <w:t>rd</w:t>
            </w:r>
            <w:r w:rsidRPr="004B62A4">
              <w:rPr>
                <w:i/>
              </w:rPr>
              <w:t xml:space="preserve"> assignment handed out</w:t>
            </w:r>
          </w:p>
          <w:p w14:paraId="4AD9BA79" w14:textId="77777777" w:rsidR="002E647C" w:rsidRPr="005A6E69" w:rsidRDefault="002E647C" w:rsidP="00C21F24">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1DD38EB3" w14:textId="77777777" w:rsidR="002E647C" w:rsidRPr="005A6E69" w:rsidRDefault="002E647C" w:rsidP="00C21F24">
            <w:pPr>
              <w:rPr>
                <w:rFonts w:cs="Arial"/>
              </w:rPr>
            </w:pPr>
          </w:p>
        </w:tc>
      </w:tr>
      <w:tr w:rsidR="002E647C" w:rsidRPr="005A6E69" w14:paraId="2BC8DE38" w14:textId="77777777" w:rsidTr="00C21F24">
        <w:trPr>
          <w:cantSplit/>
          <w:jc w:val="center"/>
        </w:trPr>
        <w:tc>
          <w:tcPr>
            <w:tcW w:w="1209" w:type="dxa"/>
            <w:tcBorders>
              <w:top w:val="single" w:sz="12" w:space="0" w:color="000000"/>
              <w:bottom w:val="single" w:sz="12" w:space="0" w:color="000000"/>
            </w:tcBorders>
            <w:shd w:val="clear" w:color="auto" w:fill="auto"/>
          </w:tcPr>
          <w:p w14:paraId="631F74BB" w14:textId="77777777" w:rsidR="002E647C" w:rsidRPr="005A6E69" w:rsidRDefault="002E647C" w:rsidP="00C21F24">
            <w:pPr>
              <w:rPr>
                <w:rFonts w:cs="Arial"/>
                <w:b/>
                <w:bCs/>
                <w:szCs w:val="24"/>
              </w:rPr>
            </w:pPr>
            <w:r>
              <w:rPr>
                <w:rFonts w:cs="Arial"/>
                <w:b/>
                <w:bCs/>
                <w:szCs w:val="24"/>
              </w:rPr>
              <w:t xml:space="preserve">     10</w:t>
            </w:r>
          </w:p>
        </w:tc>
        <w:tc>
          <w:tcPr>
            <w:tcW w:w="6030" w:type="dxa"/>
            <w:tcBorders>
              <w:top w:val="single" w:sz="12" w:space="0" w:color="000000"/>
              <w:bottom w:val="single" w:sz="12" w:space="0" w:color="000000"/>
            </w:tcBorders>
            <w:shd w:val="clear" w:color="auto" w:fill="auto"/>
          </w:tcPr>
          <w:p w14:paraId="48CE2304" w14:textId="77777777" w:rsidR="002E647C" w:rsidRPr="0093523E" w:rsidRDefault="002E647C" w:rsidP="00C21F24">
            <w:pPr>
              <w:pStyle w:val="Level1"/>
              <w:rPr>
                <w:color w:val="auto"/>
                <w:szCs w:val="20"/>
              </w:rPr>
            </w:pPr>
            <w:r>
              <w:rPr>
                <w:rFonts w:eastAsiaTheme="majorEastAsia"/>
                <w:color w:val="auto"/>
                <w:szCs w:val="20"/>
              </w:rPr>
              <w:t xml:space="preserve">Power </w:t>
            </w:r>
            <w:r w:rsidRPr="0093523E">
              <w:rPr>
                <w:rFonts w:eastAsiaTheme="majorEastAsia"/>
                <w:color w:val="auto"/>
                <w:szCs w:val="20"/>
              </w:rPr>
              <w:t>of Advocacy: Case Study of Making Change and Saving Lives</w:t>
            </w:r>
          </w:p>
          <w:p w14:paraId="27223EAD" w14:textId="77777777" w:rsidR="002E647C" w:rsidRPr="002B3750" w:rsidRDefault="002E647C" w:rsidP="00C21F24">
            <w:pPr>
              <w:pStyle w:val="Level1"/>
              <w:rPr>
                <w:color w:val="auto"/>
                <w:szCs w:val="20"/>
              </w:rPr>
            </w:pPr>
            <w:r>
              <w:rPr>
                <w:rFonts w:eastAsiaTheme="majorEastAsia"/>
                <w:color w:val="auto"/>
                <w:szCs w:val="20"/>
              </w:rPr>
              <w:t>Film:  How to Survive a Plague</w:t>
            </w:r>
          </w:p>
          <w:p w14:paraId="67CB2DBD" w14:textId="77777777" w:rsidR="002E647C" w:rsidRPr="00A23284" w:rsidRDefault="002E647C" w:rsidP="00C21F24">
            <w:pPr>
              <w:pStyle w:val="Level3"/>
              <w:numPr>
                <w:ilvl w:val="0"/>
                <w:numId w:val="0"/>
              </w:numPr>
              <w:rPr>
                <w:i/>
              </w:rPr>
            </w:pPr>
            <w:r>
              <w:t xml:space="preserve">       </w:t>
            </w:r>
          </w:p>
        </w:tc>
        <w:tc>
          <w:tcPr>
            <w:tcW w:w="2558" w:type="dxa"/>
            <w:tcBorders>
              <w:top w:val="single" w:sz="12" w:space="0" w:color="000000"/>
              <w:bottom w:val="single" w:sz="12" w:space="0" w:color="000000"/>
            </w:tcBorders>
            <w:shd w:val="clear" w:color="auto" w:fill="auto"/>
          </w:tcPr>
          <w:p w14:paraId="78A6A305" w14:textId="77777777" w:rsidR="002E647C" w:rsidRPr="005A6E69" w:rsidRDefault="002E647C" w:rsidP="00C21F24">
            <w:pPr>
              <w:rPr>
                <w:rFonts w:cs="Arial"/>
              </w:rPr>
            </w:pPr>
          </w:p>
        </w:tc>
      </w:tr>
      <w:tr w:rsidR="002E647C" w:rsidRPr="005A6E69" w14:paraId="5B6AB20F" w14:textId="77777777" w:rsidTr="00C21F24">
        <w:trPr>
          <w:cantSplit/>
          <w:jc w:val="center"/>
        </w:trPr>
        <w:tc>
          <w:tcPr>
            <w:tcW w:w="1209" w:type="dxa"/>
            <w:tcBorders>
              <w:top w:val="single" w:sz="12" w:space="0" w:color="000000"/>
              <w:bottom w:val="single" w:sz="12" w:space="0" w:color="000000"/>
            </w:tcBorders>
            <w:shd w:val="clear" w:color="auto" w:fill="auto"/>
          </w:tcPr>
          <w:p w14:paraId="5401D74B" w14:textId="77777777" w:rsidR="002E647C" w:rsidRPr="005A6E69" w:rsidRDefault="002E647C" w:rsidP="00C21F24">
            <w:pPr>
              <w:jc w:val="center"/>
              <w:rPr>
                <w:rFonts w:cs="Arial"/>
                <w:b/>
                <w:bCs/>
                <w:szCs w:val="24"/>
              </w:rPr>
            </w:pPr>
            <w:r w:rsidRPr="005A6E69">
              <w:rPr>
                <w:rFonts w:cs="Arial"/>
                <w:b/>
                <w:bCs/>
                <w:szCs w:val="24"/>
              </w:rPr>
              <w:t>1</w:t>
            </w:r>
            <w:r>
              <w:rPr>
                <w:rFonts w:cs="Arial"/>
                <w:b/>
                <w:bCs/>
                <w:szCs w:val="24"/>
              </w:rPr>
              <w:t>1</w:t>
            </w:r>
          </w:p>
        </w:tc>
        <w:tc>
          <w:tcPr>
            <w:tcW w:w="6030" w:type="dxa"/>
            <w:tcBorders>
              <w:top w:val="single" w:sz="12" w:space="0" w:color="000000"/>
              <w:bottom w:val="single" w:sz="12" w:space="0" w:color="000000"/>
            </w:tcBorders>
            <w:shd w:val="clear" w:color="auto" w:fill="auto"/>
          </w:tcPr>
          <w:p w14:paraId="65AD46FD" w14:textId="77777777" w:rsidR="002E647C" w:rsidRDefault="002E647C" w:rsidP="00C21F24">
            <w:pPr>
              <w:pStyle w:val="Level1"/>
              <w:tabs>
                <w:tab w:val="clear" w:pos="342"/>
                <w:tab w:val="num" w:pos="360"/>
              </w:tabs>
            </w:pPr>
            <w:r w:rsidRPr="00C15D48">
              <w:t>Programs: Education and Children Initiatives</w:t>
            </w:r>
          </w:p>
          <w:p w14:paraId="43894395" w14:textId="77777777" w:rsidR="002E647C" w:rsidRDefault="002E647C" w:rsidP="00C21F24">
            <w:pPr>
              <w:pStyle w:val="Level1"/>
            </w:pPr>
            <w:r>
              <w:t>Creating Opportunity: Education</w:t>
            </w:r>
          </w:p>
          <w:p w14:paraId="03F285A5" w14:textId="77777777" w:rsidR="002E647C" w:rsidRDefault="002E647C" w:rsidP="00C21F24">
            <w:pPr>
              <w:pStyle w:val="Level1"/>
            </w:pPr>
            <w:r>
              <w:t xml:space="preserve">K-12, charters, colleges, for-profits </w:t>
            </w:r>
          </w:p>
          <w:p w14:paraId="09FDCE9B" w14:textId="77777777" w:rsidR="002E647C" w:rsidRDefault="002E647C" w:rsidP="00C21F24">
            <w:pPr>
              <w:pStyle w:val="Level1"/>
            </w:pPr>
            <w:r>
              <w:t xml:space="preserve">History and videos in unit 11.4 and 11.5 present data through 2015, required readings will present data and trends through 2020. </w:t>
            </w:r>
          </w:p>
          <w:p w14:paraId="68EBC49B" w14:textId="77777777" w:rsidR="002E647C" w:rsidRDefault="002E647C" w:rsidP="00C21F24">
            <w:pPr>
              <w:pStyle w:val="Level1"/>
            </w:pPr>
            <w:r>
              <w:t>Scope of need</w:t>
            </w:r>
          </w:p>
          <w:p w14:paraId="37E26645" w14:textId="77777777" w:rsidR="002E647C" w:rsidRDefault="002E647C" w:rsidP="00C21F24">
            <w:pPr>
              <w:pStyle w:val="Level1"/>
            </w:pPr>
            <w:r>
              <w:t>Adequacy of programs</w:t>
            </w:r>
          </w:p>
          <w:p w14:paraId="037A377E" w14:textId="77777777" w:rsidR="002E647C" w:rsidRDefault="002E647C" w:rsidP="00C21F24">
            <w:pPr>
              <w:pStyle w:val="Level1"/>
            </w:pPr>
            <w:r>
              <w:t xml:space="preserve">Unit 11.7 on the role of college “The College’s Life” – important historical reading from </w:t>
            </w:r>
            <w:r w:rsidRPr="002B679D">
              <w:t xml:space="preserve">William Deresiewicz </w:t>
            </w:r>
            <w:r>
              <w:t>on “</w:t>
            </w:r>
            <w:r w:rsidRPr="002B679D">
              <w:t>The Neoliberal Arts-- How College</w:t>
            </w:r>
            <w:r>
              <w:t xml:space="preserve"> Sold Its Soul to the Market." </w:t>
            </w:r>
          </w:p>
          <w:p w14:paraId="42E27DF9" w14:textId="77777777" w:rsidR="002E647C" w:rsidRDefault="002E647C" w:rsidP="00C21F24">
            <w:pPr>
              <w:pStyle w:val="Level1"/>
            </w:pPr>
            <w:r>
              <w:t>Role of social workers</w:t>
            </w:r>
          </w:p>
          <w:p w14:paraId="02AF88C3" w14:textId="260903C6" w:rsidR="002E647C" w:rsidRPr="005A6E69" w:rsidRDefault="002E647C" w:rsidP="00C21F24">
            <w:pPr>
              <w:pStyle w:val="Level1"/>
            </w:pPr>
          </w:p>
        </w:tc>
        <w:tc>
          <w:tcPr>
            <w:tcW w:w="2558" w:type="dxa"/>
            <w:tcBorders>
              <w:top w:val="single" w:sz="12" w:space="0" w:color="000000"/>
              <w:bottom w:val="single" w:sz="12" w:space="0" w:color="000000"/>
            </w:tcBorders>
            <w:shd w:val="clear" w:color="auto" w:fill="auto"/>
          </w:tcPr>
          <w:p w14:paraId="231E45DB" w14:textId="77777777" w:rsidR="002E647C" w:rsidRPr="005A6E69" w:rsidRDefault="002E647C" w:rsidP="00C21F24">
            <w:pPr>
              <w:rPr>
                <w:rFonts w:cs="Arial"/>
              </w:rPr>
            </w:pPr>
          </w:p>
        </w:tc>
      </w:tr>
      <w:tr w:rsidR="002E647C" w:rsidRPr="005A6E69" w14:paraId="7DBF6149" w14:textId="77777777" w:rsidTr="00C21F24">
        <w:trPr>
          <w:cantSplit/>
          <w:jc w:val="center"/>
        </w:trPr>
        <w:tc>
          <w:tcPr>
            <w:tcW w:w="1209" w:type="dxa"/>
            <w:tcBorders>
              <w:top w:val="single" w:sz="12" w:space="0" w:color="000000"/>
              <w:bottom w:val="single" w:sz="12" w:space="0" w:color="000000"/>
            </w:tcBorders>
            <w:shd w:val="clear" w:color="auto" w:fill="auto"/>
          </w:tcPr>
          <w:p w14:paraId="273DCF94" w14:textId="77777777" w:rsidR="002E647C" w:rsidRPr="005A6E69" w:rsidRDefault="002E647C" w:rsidP="00C21F24">
            <w:pPr>
              <w:jc w:val="center"/>
              <w:rPr>
                <w:rFonts w:cs="Arial"/>
                <w:b/>
                <w:bCs/>
                <w:szCs w:val="24"/>
              </w:rPr>
            </w:pPr>
            <w:r w:rsidRPr="005A6E69">
              <w:rPr>
                <w:rFonts w:cs="Arial"/>
                <w:b/>
                <w:bCs/>
                <w:szCs w:val="24"/>
              </w:rPr>
              <w:t>1</w:t>
            </w:r>
            <w:r>
              <w:rPr>
                <w:rFonts w:cs="Arial"/>
                <w:b/>
                <w:bCs/>
                <w:szCs w:val="24"/>
              </w:rPr>
              <w:t>2</w:t>
            </w:r>
          </w:p>
        </w:tc>
        <w:tc>
          <w:tcPr>
            <w:tcW w:w="6030" w:type="dxa"/>
            <w:tcBorders>
              <w:top w:val="single" w:sz="12" w:space="0" w:color="000000"/>
              <w:bottom w:val="single" w:sz="12" w:space="0" w:color="000000"/>
            </w:tcBorders>
            <w:shd w:val="clear" w:color="auto" w:fill="auto"/>
          </w:tcPr>
          <w:p w14:paraId="09512A59" w14:textId="77777777" w:rsidR="002E647C" w:rsidRDefault="002E647C" w:rsidP="00C21F24">
            <w:pPr>
              <w:pStyle w:val="Level1"/>
              <w:tabs>
                <w:tab w:val="clear" w:pos="342"/>
                <w:tab w:val="num" w:pos="360"/>
              </w:tabs>
            </w:pPr>
            <w:r w:rsidRPr="00813B85">
              <w:t>Programs: Education and Children Initiatives</w:t>
            </w:r>
          </w:p>
          <w:p w14:paraId="09D25A0C" w14:textId="77777777" w:rsidR="002E647C" w:rsidRPr="005A6E69" w:rsidRDefault="002E647C" w:rsidP="00C21F24">
            <w:pPr>
              <w:pStyle w:val="Level1"/>
              <w:tabs>
                <w:tab w:val="clear" w:pos="342"/>
                <w:tab w:val="num" w:pos="360"/>
              </w:tabs>
            </w:pPr>
            <w:r>
              <w:t>Creating Opportunity: Child Welfare Initiatives</w:t>
            </w:r>
          </w:p>
          <w:p w14:paraId="65D53D4C" w14:textId="77777777" w:rsidR="002E647C" w:rsidRPr="005A6E69" w:rsidRDefault="002E647C" w:rsidP="00C21F24">
            <w:pPr>
              <w:pStyle w:val="Level3"/>
            </w:pPr>
            <w:r w:rsidRPr="005A6E69">
              <w:t>History</w:t>
            </w:r>
          </w:p>
          <w:p w14:paraId="409D7CA1" w14:textId="77777777" w:rsidR="002E647C" w:rsidRPr="005A6E69" w:rsidRDefault="002E647C" w:rsidP="00C21F24">
            <w:pPr>
              <w:pStyle w:val="Level3"/>
            </w:pPr>
            <w:r w:rsidRPr="005A6E69">
              <w:t>Scope of need</w:t>
            </w:r>
          </w:p>
          <w:p w14:paraId="74C2F52A" w14:textId="77777777" w:rsidR="002E647C" w:rsidRDefault="002E647C" w:rsidP="00C21F24">
            <w:pPr>
              <w:pStyle w:val="Level3"/>
            </w:pPr>
            <w:r w:rsidRPr="005A6E69">
              <w:t>Adequacy of programs</w:t>
            </w:r>
          </w:p>
          <w:p w14:paraId="764453CD" w14:textId="77777777" w:rsidR="002E647C" w:rsidRDefault="002E647C" w:rsidP="00C21F24">
            <w:pPr>
              <w:pStyle w:val="Level3"/>
            </w:pPr>
            <w:r>
              <w:t xml:space="preserve">Historical 2006 Reading in Child Welfare Case:  Her Most Difficult Call – The Case for Marie and Her Sons New York Times) </w:t>
            </w:r>
          </w:p>
          <w:p w14:paraId="364FCFF1" w14:textId="77777777" w:rsidR="002E647C" w:rsidRPr="005A6E69" w:rsidRDefault="002E647C" w:rsidP="00C21F24">
            <w:pPr>
              <w:pStyle w:val="Level3"/>
            </w:pPr>
            <w:r>
              <w:t>Unit 12.5 Views on Agency Change by Professor Bruce Jansson</w:t>
            </w:r>
          </w:p>
          <w:p w14:paraId="2EE91CC1" w14:textId="77777777" w:rsidR="002E647C" w:rsidRPr="005A6E69" w:rsidRDefault="002E647C" w:rsidP="00C21F24">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4000E78A" w14:textId="77777777" w:rsidR="002E647C" w:rsidRPr="005A6E69" w:rsidRDefault="002E647C" w:rsidP="00C21F24">
            <w:pPr>
              <w:rPr>
                <w:rFonts w:cs="Arial"/>
              </w:rPr>
            </w:pPr>
          </w:p>
        </w:tc>
      </w:tr>
      <w:tr w:rsidR="002E647C" w:rsidRPr="005A6E69" w14:paraId="7A8A6BFB" w14:textId="77777777" w:rsidTr="00C21F24">
        <w:trPr>
          <w:cantSplit/>
          <w:jc w:val="center"/>
        </w:trPr>
        <w:tc>
          <w:tcPr>
            <w:tcW w:w="1209" w:type="dxa"/>
            <w:tcBorders>
              <w:top w:val="single" w:sz="12" w:space="0" w:color="000000"/>
              <w:bottom w:val="single" w:sz="12" w:space="0" w:color="000000"/>
            </w:tcBorders>
            <w:shd w:val="clear" w:color="auto" w:fill="auto"/>
          </w:tcPr>
          <w:p w14:paraId="32042AA7" w14:textId="77777777" w:rsidR="002E647C" w:rsidRPr="005A6E69" w:rsidRDefault="002E647C" w:rsidP="00C21F24">
            <w:pPr>
              <w:jc w:val="center"/>
              <w:rPr>
                <w:rFonts w:cs="Arial"/>
                <w:b/>
                <w:bCs/>
                <w:szCs w:val="24"/>
              </w:rPr>
            </w:pPr>
            <w:r>
              <w:rPr>
                <w:rFonts w:cs="Arial"/>
                <w:b/>
                <w:bCs/>
                <w:szCs w:val="24"/>
              </w:rPr>
              <w:lastRenderedPageBreak/>
              <w:t>13</w:t>
            </w:r>
          </w:p>
        </w:tc>
        <w:tc>
          <w:tcPr>
            <w:tcW w:w="6030" w:type="dxa"/>
            <w:tcBorders>
              <w:top w:val="single" w:sz="12" w:space="0" w:color="000000"/>
              <w:bottom w:val="single" w:sz="12" w:space="0" w:color="000000"/>
            </w:tcBorders>
            <w:shd w:val="clear" w:color="auto" w:fill="auto"/>
          </w:tcPr>
          <w:p w14:paraId="64E50954" w14:textId="77777777" w:rsidR="002E647C" w:rsidRDefault="002E647C" w:rsidP="00C21F24">
            <w:pPr>
              <w:pStyle w:val="Level1"/>
            </w:pPr>
            <w:r>
              <w:t>T</w:t>
            </w:r>
            <w:r w:rsidRPr="00727E48">
              <w:t>axation and Government Budget Priorities</w:t>
            </w:r>
          </w:p>
          <w:p w14:paraId="41A3D25A" w14:textId="77777777" w:rsidR="002E647C" w:rsidRDefault="002E647C" w:rsidP="00C21F24">
            <w:pPr>
              <w:pStyle w:val="Level3"/>
            </w:pPr>
            <w:r>
              <w:t>Basic government budgeting at the federal level, including a review of the sources of federal income and its disbursement, and aspects of tax expenditures and loopholes. State budgets may be used, depending on current events and relevance.</w:t>
            </w:r>
          </w:p>
          <w:p w14:paraId="44C9A3AE" w14:textId="77777777" w:rsidR="002E647C" w:rsidRDefault="002E647C" w:rsidP="00C21F24">
            <w:pPr>
              <w:pStyle w:val="Level3"/>
            </w:pPr>
            <w:r>
              <w:t xml:space="preserve">Historical data through 2015 is explored in videos, current data through 2020 and trends presented in required readings. </w:t>
            </w:r>
          </w:p>
          <w:p w14:paraId="06993403" w14:textId="77777777" w:rsidR="002E647C" w:rsidRDefault="002E647C" w:rsidP="00C21F24">
            <w:pPr>
              <w:pStyle w:val="Level3"/>
            </w:pPr>
            <w:r>
              <w:t>Describe tax policy at the individual level</w:t>
            </w:r>
          </w:p>
          <w:p w14:paraId="3E6D1CD9" w14:textId="77777777" w:rsidR="002E647C" w:rsidRDefault="002E647C" w:rsidP="00C21F24">
            <w:pPr>
              <w:pStyle w:val="Level3"/>
            </w:pPr>
            <w:r>
              <w:t>Examine the role between tax policy and social service funding, adequacy, and fairness</w:t>
            </w:r>
          </w:p>
          <w:p w14:paraId="7AF88ECA" w14:textId="77777777" w:rsidR="002E647C" w:rsidRDefault="002E647C" w:rsidP="00C21F24">
            <w:pPr>
              <w:pStyle w:val="Level3"/>
            </w:pPr>
            <w:r>
              <w:t>Discuss special issues as per current events, possibly including the role of 501c3 nonprofits and 501c4 political groups, government contracting and privatization, and/or an examination of the flow of wealth and resources throughout society</w:t>
            </w:r>
          </w:p>
          <w:p w14:paraId="2C8AD30B" w14:textId="77777777" w:rsidR="002E647C" w:rsidRPr="005A6E69" w:rsidRDefault="002E647C" w:rsidP="00C21F24">
            <w:pPr>
              <w:pStyle w:val="Level3"/>
            </w:pPr>
            <w:r>
              <w:t>Examine whether and the extent to which social workers should focus on tax policy and budgets</w:t>
            </w:r>
          </w:p>
        </w:tc>
        <w:tc>
          <w:tcPr>
            <w:tcW w:w="2558" w:type="dxa"/>
            <w:tcBorders>
              <w:top w:val="single" w:sz="12" w:space="0" w:color="000000"/>
              <w:bottom w:val="single" w:sz="12" w:space="0" w:color="000000"/>
            </w:tcBorders>
            <w:shd w:val="clear" w:color="auto" w:fill="auto"/>
          </w:tcPr>
          <w:p w14:paraId="64CF29FB" w14:textId="77777777" w:rsidR="002E647C" w:rsidRPr="005A6E69" w:rsidRDefault="002E647C" w:rsidP="00C21F24">
            <w:pPr>
              <w:rPr>
                <w:rFonts w:cs="Arial"/>
              </w:rPr>
            </w:pPr>
          </w:p>
        </w:tc>
      </w:tr>
      <w:tr w:rsidR="002E647C" w:rsidRPr="005A6E69" w14:paraId="1862AF68" w14:textId="77777777" w:rsidTr="00C21F24">
        <w:trPr>
          <w:cantSplit/>
          <w:jc w:val="center"/>
        </w:trPr>
        <w:tc>
          <w:tcPr>
            <w:tcW w:w="1209" w:type="dxa"/>
            <w:tcBorders>
              <w:top w:val="single" w:sz="12" w:space="0" w:color="000000"/>
              <w:bottom w:val="single" w:sz="12" w:space="0" w:color="000000"/>
            </w:tcBorders>
            <w:shd w:val="clear" w:color="auto" w:fill="auto"/>
          </w:tcPr>
          <w:p w14:paraId="2B5D684F" w14:textId="77777777" w:rsidR="002E647C" w:rsidRPr="005A6E69" w:rsidRDefault="002E647C" w:rsidP="00C21F24">
            <w:pPr>
              <w:jc w:val="center"/>
              <w:rPr>
                <w:rFonts w:cs="Arial"/>
                <w:b/>
                <w:bCs/>
                <w:szCs w:val="24"/>
              </w:rPr>
            </w:pPr>
            <w:r>
              <w:rPr>
                <w:rFonts w:cs="Arial"/>
                <w:b/>
                <w:bCs/>
                <w:szCs w:val="24"/>
              </w:rPr>
              <w:t>14</w:t>
            </w:r>
          </w:p>
        </w:tc>
        <w:tc>
          <w:tcPr>
            <w:tcW w:w="6030" w:type="dxa"/>
            <w:tcBorders>
              <w:top w:val="single" w:sz="12" w:space="0" w:color="000000"/>
              <w:bottom w:val="single" w:sz="12" w:space="0" w:color="000000"/>
            </w:tcBorders>
            <w:shd w:val="clear" w:color="auto" w:fill="auto"/>
          </w:tcPr>
          <w:p w14:paraId="3977565F" w14:textId="77777777" w:rsidR="002E647C" w:rsidRDefault="002E647C" w:rsidP="00C21F24">
            <w:pPr>
              <w:pStyle w:val="Level1"/>
              <w:rPr>
                <w:i/>
              </w:rPr>
            </w:pPr>
            <w:r>
              <w:t>T</w:t>
            </w:r>
            <w:r w:rsidRPr="00A30785">
              <w:t xml:space="preserve">he Power of Advocacy: American Society Doing Big </w:t>
            </w:r>
            <w:r>
              <w:t>Things</w:t>
            </w:r>
            <w:r>
              <w:rPr>
                <w:i/>
              </w:rPr>
              <w:t xml:space="preserve"> </w:t>
            </w:r>
          </w:p>
          <w:p w14:paraId="323952C7" w14:textId="77777777" w:rsidR="002E647C" w:rsidRDefault="002E647C" w:rsidP="00C21F24">
            <w:pPr>
              <w:pStyle w:val="Level1"/>
              <w:rPr>
                <w:i/>
              </w:rPr>
            </w:pPr>
            <w:r>
              <w:rPr>
                <w:i/>
              </w:rPr>
              <w:t xml:space="preserve">Large-scale progress and reform </w:t>
            </w:r>
          </w:p>
          <w:p w14:paraId="5C297515" w14:textId="77777777" w:rsidR="002E647C" w:rsidRDefault="002E647C" w:rsidP="00C21F24">
            <w:pPr>
              <w:pStyle w:val="Level1"/>
              <w:rPr>
                <w:i/>
              </w:rPr>
            </w:pPr>
            <w:r w:rsidRPr="00A921A7">
              <w:rPr>
                <w:i/>
              </w:rPr>
              <w:t>How Social Workers Engage in Community Organizing</w:t>
            </w:r>
          </w:p>
          <w:p w14:paraId="3D7D89D6" w14:textId="77777777" w:rsidR="002E647C" w:rsidRPr="00A921A7" w:rsidRDefault="002E647C" w:rsidP="00C21F24">
            <w:pPr>
              <w:pStyle w:val="Level1"/>
            </w:pPr>
            <w:r w:rsidRPr="00A921A7">
              <w:t>Social Workers and Social Justice</w:t>
            </w:r>
            <w:r>
              <w:t xml:space="preserve">:  </w:t>
            </w:r>
            <w:r w:rsidRPr="00A921A7">
              <w:rPr>
                <w:i/>
              </w:rPr>
              <w:t>Changing the Policy!</w:t>
            </w:r>
          </w:p>
          <w:p w14:paraId="4F20B76D" w14:textId="77777777" w:rsidR="002E647C" w:rsidRDefault="002E647C" w:rsidP="00C21F24">
            <w:pPr>
              <w:pStyle w:val="Level1"/>
              <w:numPr>
                <w:ilvl w:val="0"/>
                <w:numId w:val="0"/>
              </w:numPr>
              <w:ind w:left="346"/>
              <w:rPr>
                <w:i/>
              </w:rPr>
            </w:pPr>
          </w:p>
          <w:p w14:paraId="1A2C0B27" w14:textId="77777777" w:rsidR="002E647C" w:rsidRDefault="002E647C" w:rsidP="00C21F24">
            <w:pPr>
              <w:pStyle w:val="Level1"/>
              <w:numPr>
                <w:ilvl w:val="0"/>
                <w:numId w:val="0"/>
              </w:numPr>
              <w:ind w:left="346"/>
              <w:rPr>
                <w:i/>
              </w:rPr>
            </w:pPr>
            <w:r>
              <w:rPr>
                <w:i/>
              </w:rPr>
              <w:t>Assignment 3 uploaded to VAC today and mini-presentation</w:t>
            </w:r>
            <w:r w:rsidRPr="00A23284">
              <w:rPr>
                <w:i/>
              </w:rPr>
              <w:t xml:space="preserve"> in class</w:t>
            </w:r>
            <w:r>
              <w:rPr>
                <w:i/>
              </w:rPr>
              <w:t xml:space="preserve"> today (and last day of class if more time needed).</w:t>
            </w:r>
          </w:p>
          <w:p w14:paraId="3529A74A" w14:textId="48AC6F06" w:rsidR="002E647C" w:rsidRPr="00A23284" w:rsidRDefault="002E647C" w:rsidP="00C21F24">
            <w:pPr>
              <w:pStyle w:val="Level1"/>
              <w:numPr>
                <w:ilvl w:val="0"/>
                <w:numId w:val="0"/>
              </w:numPr>
              <w:ind w:left="346"/>
              <w:rPr>
                <w:i/>
              </w:rPr>
            </w:pPr>
            <w:r>
              <w:rPr>
                <w:i/>
              </w:rPr>
              <w:t xml:space="preserve"> </w:t>
            </w:r>
          </w:p>
        </w:tc>
        <w:tc>
          <w:tcPr>
            <w:tcW w:w="2558" w:type="dxa"/>
            <w:tcBorders>
              <w:top w:val="single" w:sz="12" w:space="0" w:color="000000"/>
              <w:bottom w:val="single" w:sz="12" w:space="0" w:color="000000"/>
            </w:tcBorders>
            <w:shd w:val="clear" w:color="auto" w:fill="auto"/>
          </w:tcPr>
          <w:p w14:paraId="1A03A1CB" w14:textId="77777777" w:rsidR="002E647C" w:rsidRPr="005A6E69" w:rsidRDefault="002E647C" w:rsidP="00C21F24">
            <w:pPr>
              <w:rPr>
                <w:rFonts w:cs="Arial"/>
              </w:rPr>
            </w:pPr>
          </w:p>
        </w:tc>
      </w:tr>
      <w:tr w:rsidR="002E647C" w:rsidRPr="005A6E69" w14:paraId="1A11E56C" w14:textId="77777777" w:rsidTr="00C21F24">
        <w:trPr>
          <w:cantSplit/>
          <w:jc w:val="center"/>
        </w:trPr>
        <w:tc>
          <w:tcPr>
            <w:tcW w:w="1209" w:type="dxa"/>
            <w:tcBorders>
              <w:top w:val="single" w:sz="12" w:space="0" w:color="000000"/>
              <w:bottom w:val="single" w:sz="12" w:space="0" w:color="000000"/>
            </w:tcBorders>
            <w:shd w:val="clear" w:color="auto" w:fill="auto"/>
          </w:tcPr>
          <w:p w14:paraId="1CEFE746" w14:textId="77777777" w:rsidR="002E647C" w:rsidRPr="005A6E69" w:rsidRDefault="002E647C" w:rsidP="00C21F24">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14:paraId="3A882EA3" w14:textId="03FE5E92" w:rsidR="002E647C" w:rsidRDefault="002E647C" w:rsidP="00C21F24">
            <w:pPr>
              <w:pStyle w:val="Level1"/>
            </w:pPr>
            <w:r>
              <w:t xml:space="preserve">Asynchronous discussion on Reforming Budgets – Impacting Agency Budgets </w:t>
            </w:r>
          </w:p>
          <w:p w14:paraId="157204A0" w14:textId="5D1E2E7B" w:rsidR="002E647C" w:rsidRPr="005A6E69" w:rsidRDefault="002E647C" w:rsidP="00C21F24">
            <w:pPr>
              <w:pStyle w:val="Level1"/>
            </w:pPr>
            <w:r>
              <w:t>Special Topics in Class</w:t>
            </w:r>
          </w:p>
          <w:p w14:paraId="522826B2" w14:textId="50473D8D" w:rsidR="002E647C" w:rsidRPr="005A6E69" w:rsidRDefault="002E647C" w:rsidP="00C21F24">
            <w:pPr>
              <w:pStyle w:val="Level2"/>
            </w:pPr>
            <w:r>
              <w:t>In-depth exploration of a special topic currently in the news and relation to the 13 Grand Challenges for Social Work.  E</w:t>
            </w:r>
            <w:r w:rsidRPr="005A6E69">
              <w:t xml:space="preserve">xamples </w:t>
            </w:r>
            <w:r>
              <w:t xml:space="preserve">could include:  </w:t>
            </w:r>
          </w:p>
          <w:p w14:paraId="696159D2" w14:textId="77777777" w:rsidR="002E647C" w:rsidRDefault="002E647C" w:rsidP="00C21F24">
            <w:pPr>
              <w:pStyle w:val="Level3"/>
            </w:pPr>
            <w:r w:rsidRPr="005A6E69">
              <w:t>Civil rights</w:t>
            </w:r>
            <w:r>
              <w:t xml:space="preserve"> – justice for all </w:t>
            </w:r>
          </w:p>
          <w:p w14:paraId="56BFC15A" w14:textId="77777777" w:rsidR="002E647C" w:rsidRDefault="002E647C" w:rsidP="00C21F24">
            <w:pPr>
              <w:pStyle w:val="Level3"/>
            </w:pPr>
            <w:r>
              <w:t>Women’s issues – including violence against women</w:t>
            </w:r>
          </w:p>
          <w:p w14:paraId="15698166" w14:textId="77777777" w:rsidR="002E647C" w:rsidRPr="005A6E69" w:rsidRDefault="002E647C" w:rsidP="00C21F24">
            <w:pPr>
              <w:pStyle w:val="Level3"/>
            </w:pPr>
            <w:r>
              <w:t xml:space="preserve">Immigration </w:t>
            </w:r>
          </w:p>
          <w:p w14:paraId="0B95E885" w14:textId="77777777" w:rsidR="002E647C" w:rsidRDefault="002E647C" w:rsidP="00C21F24">
            <w:pPr>
              <w:pStyle w:val="Level3"/>
            </w:pPr>
            <w:r w:rsidRPr="005A6E69">
              <w:t>Marriage equality</w:t>
            </w:r>
          </w:p>
          <w:p w14:paraId="1105EE37" w14:textId="77777777" w:rsidR="002E647C" w:rsidRDefault="002E647C" w:rsidP="00C21F24">
            <w:pPr>
              <w:pStyle w:val="Level3"/>
            </w:pPr>
            <w:r>
              <w:t>Crime – and jail/prison decarceration</w:t>
            </w:r>
          </w:p>
          <w:p w14:paraId="2B907ACA" w14:textId="77777777" w:rsidR="002E647C" w:rsidRDefault="002E647C" w:rsidP="00C21F24">
            <w:pPr>
              <w:pStyle w:val="Level3"/>
            </w:pPr>
            <w:r>
              <w:t>The 2020 General Election</w:t>
            </w:r>
          </w:p>
          <w:p w14:paraId="60C363CF" w14:textId="77777777" w:rsidR="002E647C" w:rsidRDefault="002E647C" w:rsidP="00C21F24">
            <w:pPr>
              <w:pStyle w:val="Level3"/>
            </w:pPr>
            <w:r>
              <w:t>Cultural issues - #BLM and the anti-racism movement</w:t>
            </w:r>
          </w:p>
          <w:p w14:paraId="42D8E087" w14:textId="77777777" w:rsidR="002E647C" w:rsidRPr="005A6E69" w:rsidRDefault="002E647C" w:rsidP="00C21F24">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52A7D34" w14:textId="77777777" w:rsidR="002E647C" w:rsidRPr="005A6E69" w:rsidRDefault="002E647C" w:rsidP="00C21F24">
            <w:pPr>
              <w:rPr>
                <w:rFonts w:cs="Arial"/>
                <w:bCs/>
              </w:rPr>
            </w:pPr>
          </w:p>
        </w:tc>
      </w:tr>
    </w:tbl>
    <w:p w14:paraId="0F35B22E" w14:textId="27BFBBA2" w:rsidR="002E647C" w:rsidRDefault="002E647C" w:rsidP="002E647C">
      <w:pPr>
        <w:pStyle w:val="BodyText"/>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p w14:paraId="018DFB8A" w14:textId="39BF5C31" w:rsidR="002E647C" w:rsidRDefault="002E647C" w:rsidP="002E647C">
      <w:pPr>
        <w:pStyle w:val="BodyText"/>
        <w:rPr>
          <w:rFonts w:ascii="Times New Roman" w:hAnsi="Times New Roman"/>
          <w:b/>
          <w:bCs/>
          <w:color w:val="C00000"/>
          <w:sz w:val="32"/>
          <w:szCs w:val="32"/>
        </w:rPr>
      </w:pPr>
      <w:r w:rsidRPr="00AE237B">
        <w:rPr>
          <w:b/>
          <w:sz w:val="36"/>
          <w:szCs w:val="36"/>
          <w:highlight w:val="yellow"/>
        </w:rPr>
        <w:t>First Module</w:t>
      </w:r>
      <w:r>
        <w:rPr>
          <w:b/>
          <w:sz w:val="36"/>
          <w:szCs w:val="36"/>
          <w:highlight w:val="yellow"/>
        </w:rPr>
        <w:t xml:space="preserve"> Units 1- 4:</w:t>
      </w:r>
      <w:r w:rsidRPr="00AE237B">
        <w:rPr>
          <w:b/>
          <w:sz w:val="36"/>
          <w:szCs w:val="36"/>
          <w:highlight w:val="yellow"/>
        </w:rPr>
        <w:t xml:space="preserve"> Programs to Alleviate Poverty</w:t>
      </w:r>
    </w:p>
    <w:tbl>
      <w:tblPr>
        <w:tblW w:w="0" w:type="auto"/>
        <w:tblInd w:w="18" w:type="dxa"/>
        <w:tblLook w:val="04A0" w:firstRow="1" w:lastRow="0" w:firstColumn="1" w:lastColumn="0" w:noHBand="0" w:noVBand="1"/>
      </w:tblPr>
      <w:tblGrid>
        <w:gridCol w:w="7032"/>
        <w:gridCol w:w="2310"/>
      </w:tblGrid>
      <w:tr w:rsidR="002E647C" w:rsidRPr="0071424C" w14:paraId="66EB93FB" w14:textId="77777777" w:rsidTr="00C21F24">
        <w:trPr>
          <w:cantSplit/>
          <w:trHeight w:val="391"/>
          <w:tblHeader/>
        </w:trPr>
        <w:tc>
          <w:tcPr>
            <w:tcW w:w="7535" w:type="dxa"/>
            <w:shd w:val="clear" w:color="auto" w:fill="C00000"/>
          </w:tcPr>
          <w:p w14:paraId="1A014137" w14:textId="77777777" w:rsidR="002E647C" w:rsidRPr="0071424C" w:rsidRDefault="002E647C" w:rsidP="00C21F24">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14:paraId="3D2F9ECB" w14:textId="77777777" w:rsidR="002E647C" w:rsidRPr="0071424C" w:rsidRDefault="002E647C" w:rsidP="00C21F24">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14:paraId="7698F3E6" w14:textId="77777777" w:rsidR="002E647C" w:rsidRDefault="002E647C" w:rsidP="002E647C">
      <w:pPr>
        <w:pStyle w:val="BodyText"/>
        <w:ind w:firstLine="360"/>
        <w:rPr>
          <w:b/>
          <w:u w:val="single"/>
        </w:rPr>
      </w:pPr>
    </w:p>
    <w:p w14:paraId="64D1B816" w14:textId="77777777" w:rsidR="002E647C" w:rsidRPr="00225805" w:rsidRDefault="002E647C" w:rsidP="002E647C">
      <w:pPr>
        <w:pStyle w:val="BodyText"/>
        <w:ind w:firstLine="360"/>
        <w:rPr>
          <w:rFonts w:asciiTheme="minorHAnsi" w:hAnsiTheme="minorHAnsi" w:cstheme="minorHAnsi"/>
          <w:b/>
          <w:sz w:val="22"/>
          <w:szCs w:val="22"/>
        </w:rPr>
      </w:pPr>
      <w:r w:rsidRPr="00225805">
        <w:rPr>
          <w:rFonts w:asciiTheme="minorHAnsi" w:hAnsiTheme="minorHAnsi" w:cstheme="minorHAnsi"/>
          <w:b/>
          <w:sz w:val="22"/>
          <w:szCs w:val="22"/>
          <w:u w:val="single"/>
        </w:rPr>
        <w:lastRenderedPageBreak/>
        <w:t>Topics Encompass</w:t>
      </w:r>
      <w:r w:rsidRPr="00225805">
        <w:rPr>
          <w:rFonts w:asciiTheme="minorHAnsi" w:hAnsiTheme="minorHAnsi" w:cstheme="minorHAnsi"/>
          <w:b/>
          <w:sz w:val="22"/>
          <w:szCs w:val="22"/>
        </w:rPr>
        <w:t>:</w:t>
      </w:r>
    </w:p>
    <w:p w14:paraId="5C9015CF" w14:textId="77777777" w:rsidR="002E647C" w:rsidRPr="00225805" w:rsidRDefault="002E647C" w:rsidP="002E647C">
      <w:pPr>
        <w:pStyle w:val="ListParagraph"/>
        <w:numPr>
          <w:ilvl w:val="0"/>
          <w:numId w:val="22"/>
        </w:numPr>
        <w:spacing w:after="200" w:line="276" w:lineRule="auto"/>
        <w:jc w:val="both"/>
        <w:rPr>
          <w:rFonts w:cstheme="minorHAnsi"/>
        </w:rPr>
      </w:pPr>
      <w:r w:rsidRPr="00225805">
        <w:rPr>
          <w:rFonts w:cstheme="minorHAnsi"/>
        </w:rPr>
        <w:t>Conceptual framework:  the ongoing effort to create Adequacy, Security and Justice.</w:t>
      </w:r>
    </w:p>
    <w:p w14:paraId="1EA17CAB" w14:textId="77777777" w:rsidR="002E647C" w:rsidRPr="00225805" w:rsidRDefault="002E647C" w:rsidP="002E647C">
      <w:pPr>
        <w:pStyle w:val="ListParagraph"/>
        <w:numPr>
          <w:ilvl w:val="0"/>
          <w:numId w:val="22"/>
        </w:numPr>
        <w:spacing w:after="200" w:line="276" w:lineRule="auto"/>
        <w:jc w:val="both"/>
        <w:rPr>
          <w:rFonts w:cstheme="minorHAnsi"/>
        </w:rPr>
      </w:pPr>
      <w:r w:rsidRPr="00225805">
        <w:rPr>
          <w:rFonts w:cstheme="minorHAnsi"/>
        </w:rPr>
        <w:t>How our social safety net is structured: federal to local implementation; cross-system intersectionality</w:t>
      </w:r>
    </w:p>
    <w:p w14:paraId="34387720" w14:textId="77777777" w:rsidR="002E647C" w:rsidRPr="00225805" w:rsidRDefault="002E647C" w:rsidP="002E647C">
      <w:pPr>
        <w:pStyle w:val="ListParagraph"/>
        <w:numPr>
          <w:ilvl w:val="1"/>
          <w:numId w:val="22"/>
        </w:numPr>
        <w:spacing w:after="200" w:line="276" w:lineRule="auto"/>
        <w:jc w:val="both"/>
        <w:rPr>
          <w:rFonts w:cstheme="minorHAnsi"/>
        </w:rPr>
      </w:pPr>
      <w:r w:rsidRPr="00225805">
        <w:rPr>
          <w:rFonts w:cstheme="minorHAnsi"/>
        </w:rPr>
        <w:t>Programs to alleviate poverty: EITC, SNAP, Medicaid, TANF.</w:t>
      </w:r>
    </w:p>
    <w:p w14:paraId="753ED9A5" w14:textId="77777777" w:rsidR="002E647C" w:rsidRPr="00225805" w:rsidRDefault="002E647C" w:rsidP="002E647C">
      <w:pPr>
        <w:pStyle w:val="ListParagraph"/>
        <w:numPr>
          <w:ilvl w:val="1"/>
          <w:numId w:val="22"/>
        </w:numPr>
        <w:spacing w:after="200" w:line="276" w:lineRule="auto"/>
        <w:jc w:val="both"/>
        <w:rPr>
          <w:rFonts w:cstheme="minorHAnsi"/>
        </w:rPr>
      </w:pPr>
      <w:r w:rsidRPr="00225805">
        <w:rPr>
          <w:rFonts w:cstheme="minorHAnsi"/>
        </w:rPr>
        <w:t>Insurances to create security: Social Security, Disability, Unemployment, Medicare &amp; ACA.</w:t>
      </w:r>
    </w:p>
    <w:p w14:paraId="073072AD" w14:textId="77777777" w:rsidR="002E647C" w:rsidRPr="00225805" w:rsidRDefault="002E647C" w:rsidP="002E647C">
      <w:pPr>
        <w:pStyle w:val="ListParagraph"/>
        <w:numPr>
          <w:ilvl w:val="1"/>
          <w:numId w:val="22"/>
        </w:numPr>
        <w:spacing w:after="200" w:line="276" w:lineRule="auto"/>
        <w:jc w:val="both"/>
        <w:rPr>
          <w:rFonts w:cstheme="minorHAnsi"/>
        </w:rPr>
      </w:pPr>
      <w:r w:rsidRPr="00225805">
        <w:rPr>
          <w:rFonts w:cstheme="minorHAnsi"/>
        </w:rPr>
        <w:t>Policies to create opportunity: education, child welfare, immigration, taxation</w:t>
      </w:r>
    </w:p>
    <w:p w14:paraId="68AC0154" w14:textId="77777777" w:rsidR="002E647C" w:rsidRPr="00225805" w:rsidRDefault="002E647C" w:rsidP="002E647C">
      <w:pPr>
        <w:pStyle w:val="ListParagraph"/>
        <w:numPr>
          <w:ilvl w:val="0"/>
          <w:numId w:val="22"/>
        </w:numPr>
        <w:spacing w:after="200" w:line="276" w:lineRule="auto"/>
        <w:jc w:val="both"/>
        <w:rPr>
          <w:rFonts w:cstheme="minorHAnsi"/>
        </w:rPr>
      </w:pPr>
      <w:r w:rsidRPr="00225805">
        <w:rPr>
          <w:rFonts w:cstheme="minorHAnsi"/>
        </w:rPr>
        <w:t>Role of Social Work in developing and administering assistance: pre-New Deal to today’s disappearance</w:t>
      </w:r>
    </w:p>
    <w:p w14:paraId="29BBF358" w14:textId="77777777" w:rsidR="002E647C" w:rsidRPr="00225805" w:rsidRDefault="002E647C" w:rsidP="002E647C">
      <w:pPr>
        <w:pStyle w:val="ListParagraph"/>
        <w:numPr>
          <w:ilvl w:val="0"/>
          <w:numId w:val="22"/>
        </w:numPr>
        <w:spacing w:after="200" w:line="276" w:lineRule="auto"/>
        <w:jc w:val="both"/>
        <w:rPr>
          <w:rFonts w:cstheme="minorHAnsi"/>
        </w:rPr>
      </w:pPr>
      <w:r w:rsidRPr="00225805">
        <w:rPr>
          <w:rFonts w:cstheme="minorHAnsi"/>
        </w:rPr>
        <w:t>Conceptual framework for role of Social Work: the difference between charity-giving and professionalism; cultural competence; the importance of context; non-traditional social work.</w:t>
      </w:r>
    </w:p>
    <w:p w14:paraId="2A734C2A" w14:textId="77777777" w:rsidR="002E647C" w:rsidRPr="00225805" w:rsidRDefault="002E647C" w:rsidP="002E647C">
      <w:pPr>
        <w:pStyle w:val="ListParagraph"/>
        <w:numPr>
          <w:ilvl w:val="1"/>
          <w:numId w:val="22"/>
        </w:numPr>
        <w:spacing w:after="200" w:line="276" w:lineRule="auto"/>
        <w:jc w:val="both"/>
        <w:rPr>
          <w:rFonts w:cstheme="minorHAnsi"/>
        </w:rPr>
      </w:pPr>
      <w:r w:rsidRPr="00225805">
        <w:rPr>
          <w:rFonts w:cstheme="minorHAnsi"/>
        </w:rPr>
        <w:t>The Grand Challenges for Social Work</w:t>
      </w:r>
    </w:p>
    <w:p w14:paraId="243DAEE4" w14:textId="77777777" w:rsidR="002E647C" w:rsidRPr="00225805" w:rsidRDefault="002E647C" w:rsidP="002E647C">
      <w:pPr>
        <w:pStyle w:val="ListParagraph"/>
        <w:numPr>
          <w:ilvl w:val="0"/>
          <w:numId w:val="22"/>
        </w:numPr>
        <w:spacing w:after="200" w:line="276" w:lineRule="auto"/>
        <w:jc w:val="both"/>
        <w:rPr>
          <w:rFonts w:cstheme="minorHAnsi"/>
        </w:rPr>
      </w:pPr>
      <w:r w:rsidRPr="00225805">
        <w:rPr>
          <w:rFonts w:cstheme="minorHAnsi"/>
        </w:rPr>
        <w:t>Hope for the present and future: American society as flexible, empowered, and capable of vast change.</w:t>
      </w:r>
    </w:p>
    <w:p w14:paraId="6D6B2D2D" w14:textId="77777777" w:rsidR="002E647C" w:rsidRPr="00225805" w:rsidRDefault="002E647C" w:rsidP="002E647C">
      <w:pPr>
        <w:pStyle w:val="ListParagraph"/>
        <w:numPr>
          <w:ilvl w:val="0"/>
          <w:numId w:val="22"/>
        </w:numPr>
        <w:spacing w:after="200" w:line="276" w:lineRule="auto"/>
        <w:jc w:val="both"/>
        <w:rPr>
          <w:rFonts w:cstheme="minorHAnsi"/>
        </w:rPr>
      </w:pPr>
      <w:r w:rsidRPr="00225805">
        <w:rPr>
          <w:rFonts w:cstheme="minorHAnsi"/>
        </w:rPr>
        <w:t>USC &amp; school resources / links shared</w:t>
      </w:r>
    </w:p>
    <w:p w14:paraId="43B11B12" w14:textId="77777777" w:rsidR="002E647C" w:rsidRPr="00225805" w:rsidRDefault="002E647C" w:rsidP="002E647C">
      <w:pPr>
        <w:pStyle w:val="ListParagraph"/>
        <w:numPr>
          <w:ilvl w:val="0"/>
          <w:numId w:val="22"/>
        </w:numPr>
        <w:spacing w:after="200" w:line="276" w:lineRule="auto"/>
        <w:jc w:val="both"/>
        <w:rPr>
          <w:rFonts w:cstheme="minorHAnsi"/>
        </w:rPr>
      </w:pPr>
      <w:r w:rsidRPr="00225805">
        <w:rPr>
          <w:rFonts w:cstheme="minorHAnsi"/>
        </w:rPr>
        <w:t>First assignment is given out with regards to understanding community as a fundamental practice in professional social work: A Community Assessment</w:t>
      </w:r>
    </w:p>
    <w:p w14:paraId="7C6867F6" w14:textId="77777777" w:rsidR="002E647C" w:rsidRPr="00225805" w:rsidRDefault="002E647C" w:rsidP="002E647C">
      <w:pPr>
        <w:pStyle w:val="BodyText"/>
        <w:ind w:firstLine="360"/>
        <w:rPr>
          <w:rFonts w:asciiTheme="minorHAnsi" w:hAnsiTheme="minorHAnsi" w:cstheme="minorHAnsi"/>
          <w:b/>
          <w:sz w:val="22"/>
          <w:szCs w:val="22"/>
        </w:rPr>
      </w:pPr>
      <w:r w:rsidRPr="00225805">
        <w:rPr>
          <w:rFonts w:asciiTheme="minorHAnsi" w:hAnsiTheme="minorHAnsi" w:cstheme="minorHAnsi"/>
          <w:b/>
          <w:sz w:val="22"/>
          <w:szCs w:val="22"/>
          <w:u w:val="single"/>
        </w:rPr>
        <w:t>Required Readings</w:t>
      </w:r>
      <w:r w:rsidRPr="00225805">
        <w:rPr>
          <w:rFonts w:asciiTheme="minorHAnsi" w:hAnsiTheme="minorHAnsi" w:cstheme="minorHAnsi"/>
          <w:b/>
          <w:sz w:val="22"/>
          <w:szCs w:val="22"/>
        </w:rPr>
        <w:t>:</w:t>
      </w:r>
    </w:p>
    <w:p w14:paraId="4C69542F" w14:textId="77777777" w:rsidR="002E647C" w:rsidRPr="00225805" w:rsidRDefault="002E647C" w:rsidP="002E647C">
      <w:pPr>
        <w:ind w:left="360"/>
        <w:rPr>
          <w:rFonts w:cstheme="minorHAnsi"/>
        </w:rPr>
      </w:pPr>
      <w:r w:rsidRPr="00225805">
        <w:rPr>
          <w:rFonts w:cstheme="minorHAnsi"/>
        </w:rPr>
        <w:t xml:space="preserve">Sherraden, M., Barth, R., Brekke, J., </w:t>
      </w:r>
      <w:r w:rsidRPr="00225805">
        <w:rPr>
          <w:rFonts w:cstheme="minorHAnsi"/>
          <w:i/>
        </w:rPr>
        <w:t>et al.</w:t>
      </w:r>
      <w:r w:rsidRPr="00225805">
        <w:rPr>
          <w:rFonts w:cstheme="minorHAnsi"/>
        </w:rPr>
        <w:t xml:space="preserve"> (2015). Social is fundamental: Introduction and context for Grand Challenges for Social Work. </w:t>
      </w:r>
      <w:r w:rsidRPr="00225805">
        <w:rPr>
          <w:rFonts w:cstheme="minorHAnsi"/>
          <w:i/>
        </w:rPr>
        <w:t>American Academy of Social Work &amp; Social Welfare.</w:t>
      </w:r>
    </w:p>
    <w:p w14:paraId="7FCF66D0" w14:textId="77777777" w:rsidR="002E647C" w:rsidRPr="00225805" w:rsidRDefault="002E647C" w:rsidP="002E647C">
      <w:pPr>
        <w:ind w:left="360"/>
        <w:rPr>
          <w:rFonts w:cstheme="minorHAnsi"/>
        </w:rPr>
      </w:pPr>
      <w:r w:rsidRPr="00225805">
        <w:rPr>
          <w:rFonts w:cstheme="minorHAnsi"/>
        </w:rPr>
        <w:t xml:space="preserve">Jansson, B (2020).  Becoming a policy advocate in eight policy sectors. In </w:t>
      </w:r>
      <w:r w:rsidRPr="00225805">
        <w:rPr>
          <w:rFonts w:cstheme="minorHAnsi"/>
          <w:i/>
        </w:rPr>
        <w:t xml:space="preserve">Social welfare policy and advocacy: Advancing social justice through eight policy sectors </w:t>
      </w:r>
      <w:r w:rsidRPr="00225805">
        <w:rPr>
          <w:rFonts w:cstheme="minorHAnsi"/>
        </w:rPr>
        <w:t xml:space="preserve">(chapter 1, pp 1 – 21). Sage. </w:t>
      </w:r>
    </w:p>
    <w:p w14:paraId="52A82E4D" w14:textId="77777777" w:rsidR="002E647C" w:rsidRPr="00225805" w:rsidRDefault="002E647C" w:rsidP="002E647C">
      <w:pPr>
        <w:ind w:left="360"/>
        <w:rPr>
          <w:rFonts w:cstheme="minorHAnsi"/>
        </w:rPr>
      </w:pPr>
      <w:r w:rsidRPr="00225805">
        <w:rPr>
          <w:rFonts w:cstheme="minorHAnsi"/>
        </w:rPr>
        <w:t xml:space="preserve">Jansson, B. (2020). Advancing social justice with seven core problems. In </w:t>
      </w:r>
      <w:r w:rsidRPr="00225805">
        <w:rPr>
          <w:rFonts w:cstheme="minorHAnsi"/>
          <w:i/>
        </w:rPr>
        <w:t xml:space="preserve">Social welfare policy and advocacy: Advancing social justice through eight policy sectors </w:t>
      </w:r>
      <w:r w:rsidRPr="00225805">
        <w:rPr>
          <w:rFonts w:cstheme="minorHAnsi"/>
        </w:rPr>
        <w:t>(chapter 2, pp 27 – 49). Sage.</w:t>
      </w:r>
    </w:p>
    <w:p w14:paraId="190519D0" w14:textId="77777777" w:rsidR="002E647C" w:rsidRPr="00225805" w:rsidRDefault="002E647C" w:rsidP="002E647C">
      <w:pPr>
        <w:ind w:left="360"/>
        <w:rPr>
          <w:rFonts w:cstheme="minorHAnsi"/>
        </w:rPr>
      </w:pPr>
      <w:r w:rsidRPr="00225805">
        <w:rPr>
          <w:rFonts w:cstheme="minorHAnsi"/>
        </w:rPr>
        <w:t xml:space="preserve">Donnelly F. (2020). Placing the census in context. In Exploring the U.S. Census: Your guide to America’s data (pp.1-21). Thousand Oaks, CA: SAGE </w:t>
      </w:r>
    </w:p>
    <w:p w14:paraId="73BC123B" w14:textId="77777777" w:rsidR="002E647C" w:rsidRPr="00225805" w:rsidRDefault="002E647C" w:rsidP="002E647C">
      <w:pPr>
        <w:ind w:left="360"/>
        <w:rPr>
          <w:rFonts w:cstheme="minorHAnsi"/>
          <w:b/>
          <w:u w:val="single"/>
        </w:rPr>
      </w:pPr>
      <w:r w:rsidRPr="00225805">
        <w:rPr>
          <w:rFonts w:cstheme="minorHAnsi"/>
          <w:b/>
          <w:u w:val="single"/>
        </w:rPr>
        <w:t>Suggested Reading/Resources for Research on Community Analysis (</w:t>
      </w:r>
      <w:r w:rsidRPr="00225805">
        <w:rPr>
          <w:rFonts w:cstheme="minorHAnsi"/>
          <w:b/>
          <w:i/>
          <w:u w:val="single"/>
        </w:rPr>
        <w:t>in addition to Research Guide provided by the Library</w:t>
      </w:r>
      <w:r w:rsidRPr="00225805">
        <w:rPr>
          <w:rFonts w:cstheme="minorHAnsi"/>
          <w:b/>
          <w:u w:val="single"/>
        </w:rPr>
        <w:t>):</w:t>
      </w:r>
    </w:p>
    <w:p w14:paraId="55E13CBD" w14:textId="73035C8B" w:rsidR="002E647C" w:rsidRPr="00894E38" w:rsidRDefault="002E647C" w:rsidP="00894E38">
      <w:pPr>
        <w:pStyle w:val="ListParagraph"/>
        <w:numPr>
          <w:ilvl w:val="0"/>
          <w:numId w:val="24"/>
        </w:numPr>
        <w:spacing w:after="200" w:line="240" w:lineRule="auto"/>
        <w:rPr>
          <w:rFonts w:cstheme="minorHAnsi"/>
          <w:b/>
          <w:i/>
        </w:rPr>
      </w:pPr>
      <w:r w:rsidRPr="00225805">
        <w:rPr>
          <w:rFonts w:cstheme="minorHAnsi"/>
          <w:b/>
          <w:i/>
        </w:rPr>
        <w:t xml:space="preserve">For information on counties around the country: </w:t>
      </w:r>
      <w:r w:rsidR="00894E38">
        <w:rPr>
          <w:rFonts w:cstheme="minorHAnsi"/>
          <w:b/>
          <w:i/>
        </w:rPr>
        <w:t xml:space="preserve"> </w:t>
      </w:r>
      <w:r w:rsidRPr="00894E38">
        <w:rPr>
          <w:rFonts w:cstheme="minorHAnsi"/>
        </w:rPr>
        <w:t>National Association of Counties - OVERVIEW of counties:</w:t>
      </w:r>
    </w:p>
    <w:p w14:paraId="3CE3F162" w14:textId="77777777" w:rsidR="002E647C" w:rsidRPr="00225805" w:rsidRDefault="0068150E" w:rsidP="002E647C">
      <w:pPr>
        <w:ind w:left="1080"/>
        <w:rPr>
          <w:rFonts w:cstheme="minorHAnsi"/>
          <w:b/>
        </w:rPr>
      </w:pPr>
      <w:hyperlink r:id="rId11" w:history="1">
        <w:r w:rsidR="002E647C" w:rsidRPr="00225805">
          <w:rPr>
            <w:rStyle w:val="Hyperlink"/>
            <w:rFonts w:cstheme="minorHAnsi"/>
            <w:b/>
          </w:rPr>
          <w:t>https://ce.naco.org/?dset=Gross%20Domestic%20Product%20(GDP)&amp;ind=Gross%20Domestic%20Product</w:t>
        </w:r>
      </w:hyperlink>
    </w:p>
    <w:p w14:paraId="0FB00476" w14:textId="77777777" w:rsidR="002E647C" w:rsidRPr="00225805" w:rsidRDefault="002E647C" w:rsidP="002E647C">
      <w:pPr>
        <w:pStyle w:val="ListParagraph"/>
        <w:numPr>
          <w:ilvl w:val="0"/>
          <w:numId w:val="24"/>
        </w:numPr>
        <w:spacing w:after="200" w:line="276" w:lineRule="auto"/>
        <w:rPr>
          <w:rFonts w:cstheme="minorHAnsi"/>
          <w:b/>
          <w:i/>
        </w:rPr>
      </w:pPr>
      <w:r w:rsidRPr="00225805">
        <w:rPr>
          <w:rFonts w:cstheme="minorHAnsi"/>
          <w:b/>
          <w:i/>
        </w:rPr>
        <w:t>For easy access to demographic information about the United States, providing interactive data maps going back to 1790:</w:t>
      </w:r>
    </w:p>
    <w:p w14:paraId="69BDC337" w14:textId="2EFEA8D9" w:rsidR="002E647C" w:rsidRPr="002E647C" w:rsidRDefault="002E647C" w:rsidP="002E647C">
      <w:pPr>
        <w:ind w:firstLine="720"/>
        <w:rPr>
          <w:rFonts w:cstheme="minorHAnsi"/>
          <w:b/>
          <w:i/>
        </w:rPr>
      </w:pPr>
      <w:r w:rsidRPr="00225805">
        <w:rPr>
          <w:rFonts w:cstheme="minorHAnsi"/>
          <w:i/>
        </w:rPr>
        <w:t>Social Explorer</w:t>
      </w:r>
      <w:r w:rsidRPr="00225805">
        <w:rPr>
          <w:rFonts w:cstheme="minorHAnsi"/>
          <w:b/>
          <w:i/>
        </w:rPr>
        <w:t xml:space="preserve">     </w:t>
      </w:r>
      <w:hyperlink r:id="rId12" w:history="1">
        <w:r w:rsidRPr="00225805">
          <w:rPr>
            <w:rStyle w:val="Hyperlink"/>
            <w:rFonts w:cstheme="minorHAnsi"/>
            <w:b/>
            <w:i/>
          </w:rPr>
          <w:t>https://www.socialexplorer.com/</w:t>
        </w:r>
      </w:hyperlink>
    </w:p>
    <w:tbl>
      <w:tblPr>
        <w:tblW w:w="0" w:type="auto"/>
        <w:tblInd w:w="18" w:type="dxa"/>
        <w:tblLook w:val="04A0" w:firstRow="1" w:lastRow="0" w:firstColumn="1" w:lastColumn="0" w:noHBand="0" w:noVBand="1"/>
      </w:tblPr>
      <w:tblGrid>
        <w:gridCol w:w="7766"/>
        <w:gridCol w:w="1576"/>
      </w:tblGrid>
      <w:tr w:rsidR="002E647C" w:rsidRPr="006B45CD" w14:paraId="1ACE346B" w14:textId="77777777" w:rsidTr="00C21F24">
        <w:trPr>
          <w:cantSplit/>
          <w:tblHeader/>
        </w:trPr>
        <w:tc>
          <w:tcPr>
            <w:tcW w:w="7920" w:type="dxa"/>
            <w:shd w:val="clear" w:color="auto" w:fill="C00000"/>
          </w:tcPr>
          <w:p w14:paraId="2FF70F44" w14:textId="77777777" w:rsidR="002E647C" w:rsidRPr="00C14077" w:rsidRDefault="002E647C" w:rsidP="00C21F24">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lastRenderedPageBreak/>
              <w:t>Unit 2:</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Programs: Family Income,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14:paraId="341167F7"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73BD9D7F" w14:textId="77777777" w:rsidR="002E647C" w:rsidRDefault="002E647C" w:rsidP="002E647C">
      <w:pPr>
        <w:pStyle w:val="ListParagraph"/>
        <w:rPr>
          <w:b/>
          <w:u w:val="single"/>
        </w:rPr>
      </w:pPr>
    </w:p>
    <w:p w14:paraId="4C500CEB" w14:textId="77777777" w:rsidR="002E647C" w:rsidRDefault="002E647C" w:rsidP="002E647C">
      <w:pPr>
        <w:pStyle w:val="ListParagraph"/>
        <w:rPr>
          <w:b/>
          <w:u w:val="single"/>
        </w:rPr>
      </w:pPr>
      <w:r>
        <w:rPr>
          <w:b/>
          <w:u w:val="single"/>
        </w:rPr>
        <w:t>Topics Encompass:</w:t>
      </w:r>
    </w:p>
    <w:p w14:paraId="360C6FE9" w14:textId="77777777" w:rsidR="002E647C" w:rsidRDefault="002E647C" w:rsidP="002E647C">
      <w:pPr>
        <w:pStyle w:val="ListParagraph"/>
        <w:numPr>
          <w:ilvl w:val="1"/>
          <w:numId w:val="13"/>
        </w:numPr>
        <w:spacing w:after="200" w:line="276" w:lineRule="auto"/>
      </w:pPr>
      <w:r>
        <w:t>EITC, TANF, SNAP, and Medicaid</w:t>
      </w:r>
    </w:p>
    <w:p w14:paraId="162DFDA3" w14:textId="77777777" w:rsidR="002E647C" w:rsidRDefault="002E647C" w:rsidP="002E647C">
      <w:pPr>
        <w:pStyle w:val="ListParagraph"/>
        <w:numPr>
          <w:ilvl w:val="1"/>
          <w:numId w:val="13"/>
        </w:numPr>
        <w:spacing w:after="200" w:line="276" w:lineRule="auto"/>
      </w:pPr>
      <w:r>
        <w:t>Examination of the scope of need in the community, on the aspects ostensibly covered by these programs (i.e. income, food security, health).  Examine (</w:t>
      </w:r>
      <w:proofErr w:type="spellStart"/>
      <w:r>
        <w:t>i</w:t>
      </w:r>
      <w:proofErr w:type="spellEnd"/>
      <w:r>
        <w:t xml:space="preserve">) the application process; (ii) the benefits available; (iii) the participation needed to receive benefits; and (iv) the best expected outcomes.  </w:t>
      </w:r>
    </w:p>
    <w:p w14:paraId="7D680E55" w14:textId="77777777" w:rsidR="002E647C" w:rsidRDefault="002E647C" w:rsidP="002E647C">
      <w:pPr>
        <w:pStyle w:val="ListParagraph"/>
        <w:numPr>
          <w:ilvl w:val="1"/>
          <w:numId w:val="13"/>
        </w:numPr>
        <w:spacing w:after="200" w:line="276" w:lineRule="auto"/>
      </w:pPr>
      <w:r>
        <w:t>Examine the adequacy of the programs compared with the need, and the implementation thereof.</w:t>
      </w:r>
    </w:p>
    <w:p w14:paraId="1BFAD4F5" w14:textId="77777777" w:rsidR="002E647C" w:rsidRDefault="002E647C" w:rsidP="002E647C">
      <w:pPr>
        <w:pStyle w:val="ListParagraph"/>
        <w:numPr>
          <w:ilvl w:val="1"/>
          <w:numId w:val="13"/>
        </w:numPr>
        <w:spacing w:after="200" w:line="276" w:lineRule="auto"/>
      </w:pPr>
      <w:r>
        <w:t>Examine and discuss the role that social workers do and should play in these safety-net programs.</w:t>
      </w:r>
    </w:p>
    <w:p w14:paraId="00C87B12" w14:textId="77777777" w:rsidR="002E647C" w:rsidRPr="00F16D4F" w:rsidRDefault="002E647C" w:rsidP="002E647C">
      <w:pPr>
        <w:ind w:left="720"/>
        <w:rPr>
          <w:b/>
          <w:u w:val="single"/>
        </w:rPr>
      </w:pPr>
      <w:r>
        <w:rPr>
          <w:b/>
          <w:u w:val="single"/>
        </w:rPr>
        <w:t xml:space="preserve">Required </w:t>
      </w:r>
      <w:r w:rsidRPr="00F16D4F">
        <w:rPr>
          <w:b/>
          <w:u w:val="single"/>
        </w:rPr>
        <w:t>Readings:</w:t>
      </w:r>
    </w:p>
    <w:p w14:paraId="262620A1" w14:textId="77777777" w:rsidR="002E647C" w:rsidRDefault="002E647C" w:rsidP="002E647C">
      <w:pPr>
        <w:pStyle w:val="ListParagraph"/>
      </w:pPr>
      <w:r>
        <w:t>Jansson, B. (2020).  Becoming policy advocates in the safety net s</w:t>
      </w:r>
      <w:r w:rsidRPr="00EC74FB">
        <w:t>ector</w:t>
      </w:r>
      <w:r>
        <w:t xml:space="preserve">. In </w:t>
      </w:r>
      <w:r>
        <w:rPr>
          <w:i/>
        </w:rPr>
        <w:t>Social welfare policy and a</w:t>
      </w:r>
      <w:r w:rsidRPr="00212684">
        <w:rPr>
          <w:i/>
        </w:rPr>
        <w:t>dvo</w:t>
      </w:r>
      <w:r>
        <w:rPr>
          <w:i/>
        </w:rPr>
        <w:t>cacy: Advancing social justice through eight policy s</w:t>
      </w:r>
      <w:r w:rsidRPr="00212684">
        <w:rPr>
          <w:i/>
        </w:rPr>
        <w:t xml:space="preserve">ectors </w:t>
      </w:r>
      <w:r w:rsidRPr="00645C76">
        <w:t>(</w:t>
      </w:r>
      <w:r>
        <w:t xml:space="preserve">chapter 9, pp 239 – 283). Sage. </w:t>
      </w:r>
    </w:p>
    <w:p w14:paraId="1FBE9815" w14:textId="77777777" w:rsidR="002E647C" w:rsidRDefault="002E647C" w:rsidP="002E647C">
      <w:pPr>
        <w:pStyle w:val="ListParagraph"/>
      </w:pPr>
    </w:p>
    <w:p w14:paraId="6DDD2991" w14:textId="77777777" w:rsidR="002E647C" w:rsidRDefault="002E647C" w:rsidP="002E647C">
      <w:pPr>
        <w:pStyle w:val="ListParagraph"/>
      </w:pPr>
      <w:r>
        <w:t xml:space="preserve">Warde, B. (2017). Social inequality. In </w:t>
      </w:r>
      <w:r w:rsidRPr="00860C16">
        <w:rPr>
          <w:i/>
        </w:rPr>
        <w:t xml:space="preserve">Inequality in U.S. </w:t>
      </w:r>
      <w:r>
        <w:rPr>
          <w:i/>
        </w:rPr>
        <w:t>s</w:t>
      </w:r>
      <w:r w:rsidRPr="00860C16">
        <w:rPr>
          <w:i/>
        </w:rPr>
        <w:t xml:space="preserve">ocial </w:t>
      </w:r>
      <w:r>
        <w:rPr>
          <w:i/>
        </w:rPr>
        <w:t>p</w:t>
      </w:r>
      <w:r w:rsidRPr="00860C16">
        <w:rPr>
          <w:i/>
        </w:rPr>
        <w:t xml:space="preserve">olicy: An </w:t>
      </w:r>
      <w:r>
        <w:rPr>
          <w:i/>
        </w:rPr>
        <w:t>h</w:t>
      </w:r>
      <w:r w:rsidRPr="00860C16">
        <w:rPr>
          <w:i/>
        </w:rPr>
        <w:t xml:space="preserve">istorical </w:t>
      </w:r>
      <w:r>
        <w:rPr>
          <w:i/>
        </w:rPr>
        <w:t>a</w:t>
      </w:r>
      <w:r w:rsidRPr="00860C16">
        <w:rPr>
          <w:i/>
        </w:rPr>
        <w:t>nalysis</w:t>
      </w:r>
      <w:r>
        <w:t xml:space="preserve"> (Chap 3, pp. 66-105). Routledge. </w:t>
      </w:r>
    </w:p>
    <w:p w14:paraId="58909041" w14:textId="77777777" w:rsidR="002E647C" w:rsidRDefault="002E647C" w:rsidP="002E647C">
      <w:pPr>
        <w:pStyle w:val="ListParagraph"/>
      </w:pPr>
    </w:p>
    <w:p w14:paraId="3CFAF77D" w14:textId="77777777" w:rsidR="002E647C" w:rsidRDefault="002E647C" w:rsidP="002E647C">
      <w:pPr>
        <w:pStyle w:val="ListParagraph"/>
        <w:rPr>
          <w:b/>
        </w:rPr>
      </w:pPr>
      <w:r w:rsidRPr="001A615B">
        <w:rPr>
          <w:b/>
        </w:rPr>
        <w:t>Recommended</w:t>
      </w:r>
      <w:r>
        <w:rPr>
          <w:b/>
        </w:rPr>
        <w:t xml:space="preserve"> Reading:</w:t>
      </w:r>
      <w:r w:rsidRPr="001A615B">
        <w:rPr>
          <w:b/>
        </w:rPr>
        <w:t xml:space="preserve"> </w:t>
      </w:r>
    </w:p>
    <w:p w14:paraId="02F54324" w14:textId="77777777" w:rsidR="002E647C" w:rsidRDefault="002E647C" w:rsidP="002E647C">
      <w:pPr>
        <w:pStyle w:val="ListParagraph"/>
        <w:rPr>
          <w:b/>
        </w:rPr>
      </w:pPr>
    </w:p>
    <w:p w14:paraId="161D6F8F" w14:textId="77777777" w:rsidR="002E647C" w:rsidRPr="004F498F" w:rsidRDefault="002E647C" w:rsidP="002E647C">
      <w:pPr>
        <w:pStyle w:val="ListParagraph"/>
      </w:pPr>
      <w:r w:rsidRPr="004F498F">
        <w:t xml:space="preserve">Politico (2017). The </w:t>
      </w:r>
      <w:r>
        <w:t>e</w:t>
      </w:r>
      <w:r w:rsidRPr="004F498F">
        <w:t xml:space="preserve">ssential </w:t>
      </w:r>
      <w:r>
        <w:t>g</w:t>
      </w:r>
      <w:r w:rsidRPr="004F498F">
        <w:t xml:space="preserve">uide </w:t>
      </w:r>
      <w:r>
        <w:t>to l</w:t>
      </w:r>
      <w:r w:rsidRPr="004F498F">
        <w:t>egislation. https://www.politicopro.com/blog/guide-to-legislation</w:t>
      </w:r>
    </w:p>
    <w:p w14:paraId="024D6C44" w14:textId="77777777" w:rsidR="002E647C" w:rsidRDefault="002E647C" w:rsidP="002E647C">
      <w:pPr>
        <w:pStyle w:val="ListParagraph"/>
        <w:rPr>
          <w:b/>
        </w:rPr>
      </w:pPr>
    </w:p>
    <w:p w14:paraId="6F3F105E" w14:textId="77777777" w:rsidR="002E647C" w:rsidRDefault="002E647C" w:rsidP="002E647C">
      <w:pPr>
        <w:pStyle w:val="ListParagraph"/>
        <w:rPr>
          <w:i/>
        </w:rPr>
      </w:pPr>
      <w:r w:rsidRPr="004F498F">
        <w:t>Jansson, B. (2020).</w:t>
      </w:r>
      <w:r w:rsidRPr="001A615B">
        <w:rPr>
          <w:i/>
        </w:rPr>
        <w:t xml:space="preserve">  </w:t>
      </w:r>
      <w:r w:rsidRPr="004F498F">
        <w:t>How policy advocates advanced social justice through American history</w:t>
      </w:r>
      <w:r>
        <w:rPr>
          <w:i/>
        </w:rPr>
        <w:t>. In Social welfare policy and a</w:t>
      </w:r>
      <w:r w:rsidRPr="001A615B">
        <w:rPr>
          <w:i/>
        </w:rPr>
        <w:t>dvocacy: Advan</w:t>
      </w:r>
      <w:r>
        <w:rPr>
          <w:i/>
        </w:rPr>
        <w:t>cing social j</w:t>
      </w:r>
      <w:r w:rsidRPr="001A615B">
        <w:rPr>
          <w:i/>
        </w:rPr>
        <w:t>ustice through</w:t>
      </w:r>
      <w:r>
        <w:rPr>
          <w:i/>
        </w:rPr>
        <w:t xml:space="preserve"> eight policy sectors (chapter 3, pp 51-69)</w:t>
      </w:r>
      <w:r w:rsidRPr="001A615B">
        <w:rPr>
          <w:i/>
        </w:rPr>
        <w:t xml:space="preserve"> Sage.</w:t>
      </w:r>
    </w:p>
    <w:p w14:paraId="6163D1AC" w14:textId="77777777" w:rsidR="002E647C" w:rsidRDefault="002E647C" w:rsidP="002E647C">
      <w:pPr>
        <w:pStyle w:val="ListParagraph"/>
        <w:rPr>
          <w:i/>
        </w:rPr>
      </w:pPr>
    </w:p>
    <w:p w14:paraId="4D6F9710" w14:textId="77777777" w:rsidR="002E647C" w:rsidRPr="001A615B" w:rsidRDefault="002E647C" w:rsidP="002E647C">
      <w:pPr>
        <w:pStyle w:val="ListParagraph"/>
        <w:rPr>
          <w:i/>
        </w:rPr>
      </w:pPr>
      <w:r>
        <w:rPr>
          <w:i/>
        </w:rPr>
        <w:t xml:space="preserve">Stiglitz, J.E. (2013). The price of inequality: How today’s divided society endangers our future. </w:t>
      </w:r>
      <w:r w:rsidRPr="0008714C">
        <w:t>Norton.</w:t>
      </w:r>
      <w:r>
        <w:rPr>
          <w:i/>
        </w:rPr>
        <w:t xml:space="preserve"> </w:t>
      </w:r>
    </w:p>
    <w:tbl>
      <w:tblPr>
        <w:tblW w:w="0" w:type="auto"/>
        <w:tblInd w:w="18" w:type="dxa"/>
        <w:tblLook w:val="04A0" w:firstRow="1" w:lastRow="0" w:firstColumn="1" w:lastColumn="0" w:noHBand="0" w:noVBand="1"/>
      </w:tblPr>
      <w:tblGrid>
        <w:gridCol w:w="7763"/>
        <w:gridCol w:w="1579"/>
      </w:tblGrid>
      <w:tr w:rsidR="002E647C" w:rsidRPr="006B45CD" w14:paraId="33D0726E" w14:textId="77777777" w:rsidTr="00894E38">
        <w:trPr>
          <w:cantSplit/>
          <w:tblHeader/>
        </w:trPr>
        <w:tc>
          <w:tcPr>
            <w:tcW w:w="7763" w:type="dxa"/>
            <w:shd w:val="clear" w:color="auto" w:fill="C00000"/>
          </w:tcPr>
          <w:p w14:paraId="0D6F8FD5" w14:textId="77777777" w:rsidR="002E647C" w:rsidRPr="00C14077" w:rsidRDefault="002E647C" w:rsidP="00C21F24">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579" w:type="dxa"/>
            <w:shd w:val="clear" w:color="auto" w:fill="C00000"/>
          </w:tcPr>
          <w:p w14:paraId="0BED9096"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5EC2B8AE" w14:textId="77777777" w:rsidR="002E647C" w:rsidRDefault="002E647C" w:rsidP="002E647C">
      <w:pPr>
        <w:pStyle w:val="ListParagraph"/>
      </w:pPr>
    </w:p>
    <w:p w14:paraId="6F33D96E" w14:textId="77777777" w:rsidR="002E647C" w:rsidRDefault="002E647C" w:rsidP="002E647C">
      <w:pPr>
        <w:pStyle w:val="ListParagraph"/>
      </w:pPr>
      <w:r w:rsidRPr="00EC74FB">
        <w:rPr>
          <w:b/>
          <w:u w:val="single"/>
        </w:rPr>
        <w:t>Topics</w:t>
      </w:r>
      <w:r>
        <w:rPr>
          <w:b/>
          <w:u w:val="single"/>
        </w:rPr>
        <w:t xml:space="preserve"> Encompass</w:t>
      </w:r>
      <w:r>
        <w:t>:</w:t>
      </w:r>
    </w:p>
    <w:p w14:paraId="33293238" w14:textId="77777777" w:rsidR="002E647C" w:rsidRDefault="002E647C" w:rsidP="002E647C">
      <w:pPr>
        <w:pStyle w:val="ListParagraph"/>
        <w:numPr>
          <w:ilvl w:val="0"/>
          <w:numId w:val="23"/>
        </w:numPr>
        <w:spacing w:after="200" w:line="276" w:lineRule="auto"/>
      </w:pPr>
      <w:r>
        <w:t>EITC, TANF, SNAP, and Medicaid</w:t>
      </w:r>
    </w:p>
    <w:p w14:paraId="4E785F7E" w14:textId="77777777" w:rsidR="002E647C" w:rsidRDefault="002E647C" w:rsidP="002E647C">
      <w:pPr>
        <w:pStyle w:val="ListParagraph"/>
        <w:numPr>
          <w:ilvl w:val="0"/>
          <w:numId w:val="14"/>
        </w:numPr>
        <w:spacing w:after="200" w:line="276" w:lineRule="auto"/>
      </w:pPr>
      <w:r>
        <w:t>Explore historicity of how each program came about, and the resulting silos, politicization, and special interests.</w:t>
      </w:r>
    </w:p>
    <w:p w14:paraId="7AF433BF" w14:textId="77777777" w:rsidR="002E647C" w:rsidRDefault="002E647C" w:rsidP="002E647C">
      <w:pPr>
        <w:pStyle w:val="ListParagraph"/>
        <w:numPr>
          <w:ilvl w:val="0"/>
          <w:numId w:val="14"/>
        </w:numPr>
        <w:spacing w:after="200" w:line="276" w:lineRule="auto"/>
      </w:pPr>
      <w:r>
        <w:t xml:space="preserve">Explore how the programs are funded at the federal level, and other relevant levels. </w:t>
      </w:r>
    </w:p>
    <w:p w14:paraId="05721177" w14:textId="77777777" w:rsidR="002E647C" w:rsidRDefault="002E647C" w:rsidP="002E647C">
      <w:pPr>
        <w:pStyle w:val="ListParagraph"/>
        <w:numPr>
          <w:ilvl w:val="0"/>
          <w:numId w:val="14"/>
        </w:numPr>
        <w:spacing w:after="200" w:line="276" w:lineRule="auto"/>
      </w:pPr>
      <w:r>
        <w:t>Discuss the justness (</w:t>
      </w:r>
      <w:proofErr w:type="spellStart"/>
      <w:r>
        <w:t>ie</w:t>
      </w:r>
      <w:proofErr w:type="spellEnd"/>
      <w:r>
        <w:t xml:space="preserve"> equality; fairness) of the programs’ financing, compared with the scope of need, as well as relevant larger social factors.</w:t>
      </w:r>
    </w:p>
    <w:p w14:paraId="0414A513" w14:textId="77777777" w:rsidR="002E647C" w:rsidRDefault="002E647C" w:rsidP="002E647C">
      <w:pPr>
        <w:pStyle w:val="ListParagraph"/>
        <w:numPr>
          <w:ilvl w:val="0"/>
          <w:numId w:val="14"/>
        </w:numPr>
        <w:spacing w:after="200" w:line="276" w:lineRule="auto"/>
      </w:pPr>
      <w:r>
        <w:lastRenderedPageBreak/>
        <w:t>Discuss the role of social workers: on the macro-level, to understand how the silos can be made to work together, and what would be needed to reform the silos; and at the mezzo-level, to fairly allocate limited resources to persons / families in need.</w:t>
      </w:r>
    </w:p>
    <w:p w14:paraId="270D8F23" w14:textId="77777777" w:rsidR="002E647C" w:rsidRDefault="002E647C" w:rsidP="002E647C">
      <w:pPr>
        <w:pStyle w:val="ListParagraph"/>
      </w:pPr>
    </w:p>
    <w:p w14:paraId="4E390542" w14:textId="77777777" w:rsidR="002E647C" w:rsidRDefault="002E647C" w:rsidP="002E647C">
      <w:pPr>
        <w:pStyle w:val="ListParagraph"/>
        <w:rPr>
          <w:b/>
          <w:u w:val="single"/>
        </w:rPr>
      </w:pPr>
      <w:r w:rsidRPr="00EC74FB">
        <w:rPr>
          <w:b/>
          <w:u w:val="single"/>
        </w:rPr>
        <w:t>Re</w:t>
      </w:r>
      <w:r>
        <w:rPr>
          <w:b/>
          <w:u w:val="single"/>
        </w:rPr>
        <w:t>quired Re</w:t>
      </w:r>
      <w:r w:rsidRPr="00EC74FB">
        <w:rPr>
          <w:b/>
          <w:u w:val="single"/>
        </w:rPr>
        <w:t>adings:</w:t>
      </w:r>
    </w:p>
    <w:p w14:paraId="7C8BA31E" w14:textId="77777777" w:rsidR="002E647C" w:rsidRDefault="002E647C" w:rsidP="002E647C">
      <w:pPr>
        <w:pStyle w:val="ListParagraph"/>
        <w:rPr>
          <w:b/>
          <w:u w:val="single"/>
        </w:rPr>
      </w:pPr>
    </w:p>
    <w:p w14:paraId="13FDB68E" w14:textId="77777777" w:rsidR="002E647C" w:rsidRPr="00E27E23" w:rsidRDefault="002E647C" w:rsidP="002E647C">
      <w:pPr>
        <w:pStyle w:val="ListParagraph"/>
      </w:pPr>
      <w:r w:rsidRPr="00E27E23">
        <w:t xml:space="preserve">DiNitto, D. &amp; Johnson, D. (2016). Helping </w:t>
      </w:r>
      <w:r>
        <w:t>n</w:t>
      </w:r>
      <w:r w:rsidRPr="00E27E23">
        <w:t xml:space="preserve">eedy </w:t>
      </w:r>
      <w:r>
        <w:t>f</w:t>
      </w:r>
      <w:r w:rsidRPr="00E27E23">
        <w:t xml:space="preserve">amilies: An end to welfare as we </w:t>
      </w:r>
      <w:r>
        <w:t>kne</w:t>
      </w:r>
      <w:r w:rsidRPr="00E27E23">
        <w:t xml:space="preserve">w it. In </w:t>
      </w:r>
      <w:r w:rsidRPr="00E27E23">
        <w:rPr>
          <w:i/>
        </w:rPr>
        <w:t>Social Welfare Politics and Public Policy</w:t>
      </w:r>
      <w:r>
        <w:rPr>
          <w:i/>
        </w:rPr>
        <w:t xml:space="preserve"> (Chap 7, pp. 237 – 271). </w:t>
      </w:r>
      <w:r w:rsidRPr="008208D8">
        <w:t>Pearson.</w:t>
      </w:r>
      <w:r w:rsidRPr="00E27E23">
        <w:t xml:space="preserve"> </w:t>
      </w:r>
    </w:p>
    <w:p w14:paraId="0751146B" w14:textId="77777777" w:rsidR="002E647C" w:rsidRDefault="002E647C" w:rsidP="002E647C">
      <w:pPr>
        <w:pStyle w:val="ListParagraph"/>
      </w:pPr>
    </w:p>
    <w:p w14:paraId="4C891481" w14:textId="77777777" w:rsidR="002E647C" w:rsidRDefault="002E647C" w:rsidP="002E647C">
      <w:pPr>
        <w:pStyle w:val="ListParagraph"/>
      </w:pPr>
      <w:r w:rsidRPr="00B775EA">
        <w:t>W</w:t>
      </w:r>
      <w:r>
        <w:t>ehrnann, K., &amp; McClain, A. (2018</w:t>
      </w:r>
      <w:r w:rsidRPr="00B775EA">
        <w:t xml:space="preserve">). </w:t>
      </w:r>
      <w:r>
        <w:t xml:space="preserve">Welfare reform. In </w:t>
      </w:r>
      <w:r w:rsidRPr="00B775EA">
        <w:rPr>
          <w:i/>
        </w:rPr>
        <w:t>Social work speaks: National Association of Social Workers policy statements, 2018-2020</w:t>
      </w:r>
      <w:r w:rsidRPr="00B775EA">
        <w:t xml:space="preserve"> (11</w:t>
      </w:r>
      <w:r>
        <w:t>th ed</w:t>
      </w:r>
      <w:r w:rsidRPr="00B775EA">
        <w:t>.)</w:t>
      </w:r>
      <w:r>
        <w:t xml:space="preserve"> (pp. 337-340)</w:t>
      </w:r>
      <w:r w:rsidRPr="00B775EA">
        <w:t>. NASW Press.</w:t>
      </w:r>
    </w:p>
    <w:tbl>
      <w:tblPr>
        <w:tblW w:w="0" w:type="auto"/>
        <w:tblInd w:w="18" w:type="dxa"/>
        <w:tblLook w:val="04A0" w:firstRow="1" w:lastRow="0" w:firstColumn="1" w:lastColumn="0" w:noHBand="0" w:noVBand="1"/>
      </w:tblPr>
      <w:tblGrid>
        <w:gridCol w:w="7762"/>
        <w:gridCol w:w="1580"/>
      </w:tblGrid>
      <w:tr w:rsidR="002E647C" w:rsidRPr="006B45CD" w14:paraId="3D67D11A" w14:textId="77777777" w:rsidTr="00894E38">
        <w:trPr>
          <w:cantSplit/>
          <w:tblHeader/>
        </w:trPr>
        <w:tc>
          <w:tcPr>
            <w:tcW w:w="7762" w:type="dxa"/>
            <w:shd w:val="clear" w:color="auto" w:fill="C00000"/>
          </w:tcPr>
          <w:p w14:paraId="49AB0BE2" w14:textId="77777777" w:rsidR="002E647C" w:rsidRPr="00C14077" w:rsidRDefault="002E647C" w:rsidP="00C21F24">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The Power of Advocacy:  Writing, Speaking and Activism  </w:t>
            </w:r>
          </w:p>
        </w:tc>
        <w:tc>
          <w:tcPr>
            <w:tcW w:w="1580" w:type="dxa"/>
            <w:shd w:val="clear" w:color="auto" w:fill="C00000"/>
          </w:tcPr>
          <w:p w14:paraId="41F3B4B1"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52CDB460" w14:textId="77777777" w:rsidR="002E647C" w:rsidRPr="00991153" w:rsidRDefault="002E647C" w:rsidP="002E647C">
      <w:pPr>
        <w:rPr>
          <w:sz w:val="16"/>
          <w:szCs w:val="16"/>
        </w:rPr>
      </w:pPr>
    </w:p>
    <w:p w14:paraId="388DB03A" w14:textId="77777777" w:rsidR="002E647C" w:rsidRPr="00EC74FB" w:rsidRDefault="002E647C" w:rsidP="002E647C">
      <w:pPr>
        <w:rPr>
          <w:b/>
          <w:u w:val="single"/>
        </w:rPr>
      </w:pPr>
      <w:r>
        <w:tab/>
      </w:r>
      <w:r w:rsidRPr="00EC74FB">
        <w:rPr>
          <w:b/>
          <w:u w:val="single"/>
        </w:rPr>
        <w:t>Topics</w:t>
      </w:r>
      <w:r>
        <w:rPr>
          <w:b/>
          <w:u w:val="single"/>
        </w:rPr>
        <w:t xml:space="preserve"> Encompass</w:t>
      </w:r>
      <w:r w:rsidRPr="00EC74FB">
        <w:rPr>
          <w:b/>
          <w:u w:val="single"/>
        </w:rPr>
        <w:t>:</w:t>
      </w:r>
    </w:p>
    <w:p w14:paraId="2EAE6362" w14:textId="77777777" w:rsidR="002E647C" w:rsidRPr="004850E4" w:rsidRDefault="002E647C" w:rsidP="002E647C">
      <w:pPr>
        <w:pStyle w:val="ListParagraph"/>
        <w:numPr>
          <w:ilvl w:val="0"/>
          <w:numId w:val="15"/>
        </w:numPr>
        <w:spacing w:after="200" w:line="276" w:lineRule="auto"/>
      </w:pPr>
      <w:r>
        <w:t>T</w:t>
      </w:r>
      <w:r w:rsidRPr="004850E4">
        <w:t>his class will begin focusing on effectively communicating to different audiences your perspective about how to improve the program</w:t>
      </w:r>
      <w:r>
        <w:t>s</w:t>
      </w:r>
      <w:r w:rsidRPr="004850E4">
        <w:t xml:space="preserve">.  </w:t>
      </w:r>
    </w:p>
    <w:p w14:paraId="732776EC" w14:textId="77777777" w:rsidR="002E647C" w:rsidRPr="004850E4" w:rsidRDefault="002E647C" w:rsidP="002E647C">
      <w:pPr>
        <w:pStyle w:val="ListParagraph"/>
        <w:numPr>
          <w:ilvl w:val="0"/>
          <w:numId w:val="15"/>
        </w:numPr>
        <w:spacing w:after="200" w:line="276" w:lineRule="auto"/>
      </w:pPr>
      <w:r w:rsidRPr="004850E4">
        <w:t>This class will focus on elements of persuasive oral and written communication; review examples thereof; introduce advocacy across different platforms</w:t>
      </w:r>
      <w:r>
        <w:t>, including lobbying</w:t>
      </w:r>
      <w:r w:rsidRPr="004850E4">
        <w:t xml:space="preserve"> and the effectiveness thereof. </w:t>
      </w:r>
    </w:p>
    <w:p w14:paraId="4C0A3126" w14:textId="77777777" w:rsidR="002E647C" w:rsidRDefault="002E647C" w:rsidP="002E647C">
      <w:pPr>
        <w:pStyle w:val="ListParagraph"/>
        <w:numPr>
          <w:ilvl w:val="0"/>
          <w:numId w:val="15"/>
        </w:numPr>
        <w:spacing w:after="200" w:line="276" w:lineRule="auto"/>
      </w:pPr>
      <w:r>
        <w:t>The first assignment is due</w:t>
      </w:r>
    </w:p>
    <w:p w14:paraId="3E0C4A8F" w14:textId="77777777" w:rsidR="002E647C" w:rsidRPr="004850E4" w:rsidRDefault="002E647C" w:rsidP="002E647C">
      <w:pPr>
        <w:pStyle w:val="ListParagraph"/>
        <w:numPr>
          <w:ilvl w:val="0"/>
          <w:numId w:val="15"/>
        </w:numPr>
        <w:spacing w:after="200" w:line="276" w:lineRule="auto"/>
      </w:pPr>
      <w:r w:rsidRPr="004850E4">
        <w:t xml:space="preserve">The second graded assignment will be </w:t>
      </w:r>
      <w:r>
        <w:t>given out</w:t>
      </w:r>
      <w:r w:rsidRPr="004850E4">
        <w:t xml:space="preserve">  </w:t>
      </w:r>
    </w:p>
    <w:p w14:paraId="78951BEC" w14:textId="77777777" w:rsidR="002E647C" w:rsidRDefault="002E647C" w:rsidP="002E647C">
      <w:pPr>
        <w:ind w:firstLine="720"/>
      </w:pPr>
      <w:r>
        <w:rPr>
          <w:b/>
          <w:u w:val="single"/>
        </w:rPr>
        <w:t xml:space="preserve">Required </w:t>
      </w:r>
      <w:r w:rsidRPr="00EC74FB">
        <w:rPr>
          <w:b/>
          <w:u w:val="single"/>
        </w:rPr>
        <w:t>Readings</w:t>
      </w:r>
      <w:r>
        <w:t>:</w:t>
      </w:r>
    </w:p>
    <w:p w14:paraId="0B5D33FC" w14:textId="77777777" w:rsidR="002E647C" w:rsidRDefault="002E647C" w:rsidP="002E647C">
      <w:pPr>
        <w:pStyle w:val="ListParagraph"/>
      </w:pPr>
      <w:r>
        <w:t xml:space="preserve">Jansson, Bruce (2020). Engaging in macro policy advocacy. In </w:t>
      </w:r>
      <w:r>
        <w:rPr>
          <w:i/>
        </w:rPr>
        <w:t>Social welfare policy and a</w:t>
      </w:r>
      <w:r w:rsidRPr="00212684">
        <w:rPr>
          <w:i/>
        </w:rPr>
        <w:t>dvo</w:t>
      </w:r>
      <w:r>
        <w:rPr>
          <w:i/>
        </w:rPr>
        <w:t>cacy: Advancing social justice through eight policy s</w:t>
      </w:r>
      <w:r w:rsidRPr="00212684">
        <w:rPr>
          <w:i/>
        </w:rPr>
        <w:t xml:space="preserve">ectors </w:t>
      </w:r>
      <w:r w:rsidRPr="00645C76">
        <w:t>(</w:t>
      </w:r>
      <w:r>
        <w:t xml:space="preserve">chapter 6, pp 129 – 152). Sage. </w:t>
      </w:r>
    </w:p>
    <w:p w14:paraId="119FF8C8" w14:textId="77777777" w:rsidR="002E647C" w:rsidRDefault="002E647C" w:rsidP="002E647C">
      <w:pPr>
        <w:pStyle w:val="ListParagraph"/>
      </w:pPr>
    </w:p>
    <w:p w14:paraId="4117C6E8" w14:textId="77777777" w:rsidR="002E647C" w:rsidRPr="00EF1068" w:rsidRDefault="002E647C" w:rsidP="002E647C">
      <w:pPr>
        <w:pStyle w:val="ListParagraph"/>
        <w:rPr>
          <w:b/>
          <w:u w:val="single"/>
        </w:rPr>
      </w:pPr>
      <w:r w:rsidRPr="00EF1068">
        <w:rPr>
          <w:b/>
          <w:u w:val="single"/>
        </w:rPr>
        <w:t>Recommended Resources:</w:t>
      </w:r>
    </w:p>
    <w:p w14:paraId="4836793D" w14:textId="77777777" w:rsidR="002E647C" w:rsidRDefault="002E647C" w:rsidP="002E647C">
      <w:pPr>
        <w:pStyle w:val="ListParagraph"/>
      </w:pPr>
      <w:r>
        <w:t xml:space="preserve">The Op-Ed Project: </w:t>
      </w:r>
      <w:hyperlink r:id="rId13" w:history="1">
        <w:r w:rsidRPr="0082661A">
          <w:rPr>
            <w:color w:val="0000FF"/>
            <w:u w:val="single"/>
          </w:rPr>
          <w:t>https://www.theopedproject.org/</w:t>
        </w:r>
      </w:hyperlink>
    </w:p>
    <w:p w14:paraId="6CD5F385" w14:textId="77777777" w:rsidR="002E647C" w:rsidRDefault="002E647C" w:rsidP="002E647C">
      <w:pPr>
        <w:pStyle w:val="ListParagraph"/>
      </w:pPr>
      <w:r>
        <w:t xml:space="preserve">NASW-CA Advocacy Tools, including tips for writing an op-ed: </w:t>
      </w:r>
      <w:hyperlink r:id="rId14" w:history="1">
        <w:r w:rsidRPr="00C60BBD">
          <w:rPr>
            <w:color w:val="0000FF"/>
            <w:u w:val="single"/>
          </w:rPr>
          <w:t>https://www.naswca.org/page/7</w:t>
        </w:r>
      </w:hyperlink>
    </w:p>
    <w:p w14:paraId="0F243D30" w14:textId="77777777" w:rsidR="002E647C" w:rsidRDefault="002E647C" w:rsidP="002E647C">
      <w:pPr>
        <w:pStyle w:val="NoSpacing"/>
        <w:ind w:left="720" w:firstLine="720"/>
      </w:pPr>
    </w:p>
    <w:p w14:paraId="7C4C0BE3" w14:textId="38BC4AB6" w:rsidR="002E647C" w:rsidRPr="002E2B2F" w:rsidRDefault="002E647C" w:rsidP="002E647C">
      <w:pPr>
        <w:jc w:val="center"/>
        <w:rPr>
          <w:b/>
          <w:sz w:val="36"/>
          <w:szCs w:val="36"/>
        </w:rPr>
      </w:pPr>
      <w:r w:rsidRPr="00AE237B">
        <w:rPr>
          <w:b/>
          <w:sz w:val="36"/>
          <w:szCs w:val="36"/>
          <w:highlight w:val="yellow"/>
        </w:rPr>
        <w:t>Second Module</w:t>
      </w:r>
      <w:r>
        <w:rPr>
          <w:b/>
          <w:sz w:val="36"/>
          <w:szCs w:val="36"/>
          <w:highlight w:val="yellow"/>
        </w:rPr>
        <w:t xml:space="preserve"> Units 5-11</w:t>
      </w:r>
      <w:r w:rsidRPr="00AE237B">
        <w:rPr>
          <w:b/>
          <w:sz w:val="36"/>
          <w:szCs w:val="36"/>
          <w:highlight w:val="yellow"/>
        </w:rPr>
        <w:t>: Insurances to Create Security</w:t>
      </w:r>
    </w:p>
    <w:tbl>
      <w:tblPr>
        <w:tblW w:w="0" w:type="auto"/>
        <w:tblInd w:w="18" w:type="dxa"/>
        <w:tblLook w:val="04A0" w:firstRow="1" w:lastRow="0" w:firstColumn="1" w:lastColumn="0" w:noHBand="0" w:noVBand="1"/>
      </w:tblPr>
      <w:tblGrid>
        <w:gridCol w:w="6982"/>
        <w:gridCol w:w="2360"/>
      </w:tblGrid>
      <w:tr w:rsidR="002E647C" w:rsidRPr="006B45CD" w14:paraId="119483AB" w14:textId="77777777" w:rsidTr="00894E38">
        <w:trPr>
          <w:cantSplit/>
          <w:tblHeader/>
        </w:trPr>
        <w:tc>
          <w:tcPr>
            <w:tcW w:w="6982" w:type="dxa"/>
            <w:shd w:val="clear" w:color="auto" w:fill="C00000"/>
          </w:tcPr>
          <w:p w14:paraId="65FA10A0" w14:textId="77777777" w:rsidR="002E647C" w:rsidRPr="00F23F49" w:rsidRDefault="002E647C" w:rsidP="00C21F24">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 Affordable Housing</w:t>
            </w:r>
          </w:p>
        </w:tc>
        <w:tc>
          <w:tcPr>
            <w:tcW w:w="2360" w:type="dxa"/>
            <w:shd w:val="clear" w:color="auto" w:fill="C00000"/>
          </w:tcPr>
          <w:p w14:paraId="455CBB91"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098BF05F" w14:textId="77777777" w:rsidR="002E647C" w:rsidRDefault="002E647C" w:rsidP="002E647C">
      <w:pPr>
        <w:pStyle w:val="NoSpacing"/>
        <w:spacing w:line="276" w:lineRule="auto"/>
        <w:ind w:left="720"/>
        <w:rPr>
          <w:b/>
          <w:u w:val="single"/>
        </w:rPr>
      </w:pPr>
    </w:p>
    <w:p w14:paraId="5891174B" w14:textId="77777777" w:rsidR="002E647C" w:rsidRDefault="002E647C" w:rsidP="002E647C">
      <w:pPr>
        <w:pStyle w:val="NoSpacing"/>
        <w:spacing w:line="276" w:lineRule="auto"/>
        <w:ind w:left="720"/>
        <w:rPr>
          <w:b/>
          <w:u w:val="single"/>
        </w:rPr>
      </w:pPr>
      <w:r>
        <w:rPr>
          <w:b/>
          <w:u w:val="single"/>
        </w:rPr>
        <w:t>Topics Encompass:</w:t>
      </w:r>
    </w:p>
    <w:p w14:paraId="51378D95" w14:textId="77777777" w:rsidR="002E647C" w:rsidRDefault="002E647C" w:rsidP="002E647C">
      <w:pPr>
        <w:pStyle w:val="ListParagraph"/>
        <w:numPr>
          <w:ilvl w:val="0"/>
          <w:numId w:val="17"/>
        </w:numPr>
        <w:spacing w:after="200" w:line="276" w:lineRule="auto"/>
      </w:pPr>
      <w:r>
        <w:t>Social Security, SSI, Disability insurance, unemployment insurance, and affordable housing</w:t>
      </w:r>
    </w:p>
    <w:p w14:paraId="5B3F7833" w14:textId="77777777" w:rsidR="002E647C" w:rsidRDefault="002E647C" w:rsidP="002E647C">
      <w:pPr>
        <w:pStyle w:val="ListParagraph"/>
        <w:numPr>
          <w:ilvl w:val="0"/>
          <w:numId w:val="17"/>
        </w:numPr>
        <w:spacing w:after="200" w:line="276" w:lineRule="auto"/>
      </w:pPr>
      <w:r>
        <w:t xml:space="preserve">Examine the scope of need faced by Americans and/or residents living in the selected level of community (local, state, national) who are impacted by poverty in old age or as </w:t>
      </w:r>
      <w:r>
        <w:lastRenderedPageBreak/>
        <w:t>a survivor, who become or are already disabled, and/or who become unemployed. Assess (</w:t>
      </w:r>
      <w:proofErr w:type="spellStart"/>
      <w:r>
        <w:t>i</w:t>
      </w:r>
      <w:proofErr w:type="spellEnd"/>
      <w:r>
        <w:t xml:space="preserve">) the resources which are available; (ii) the application process; (iii) the resulting benefits; and (iv) the best expected outcomes for participants.  </w:t>
      </w:r>
    </w:p>
    <w:p w14:paraId="2CF32C06" w14:textId="77777777" w:rsidR="002E647C" w:rsidRDefault="002E647C" w:rsidP="002E647C">
      <w:pPr>
        <w:pStyle w:val="ListParagraph"/>
        <w:numPr>
          <w:ilvl w:val="0"/>
          <w:numId w:val="17"/>
        </w:numPr>
        <w:spacing w:after="200" w:line="276" w:lineRule="auto"/>
      </w:pPr>
      <w:r>
        <w:t>Discuss the adequacy (breadth and depth) of the programs’ services compared with the scope of need.</w:t>
      </w:r>
    </w:p>
    <w:p w14:paraId="07ECA073" w14:textId="77777777" w:rsidR="002E647C" w:rsidRDefault="002E647C" w:rsidP="002E647C">
      <w:pPr>
        <w:pStyle w:val="ListParagraph"/>
        <w:numPr>
          <w:ilvl w:val="0"/>
          <w:numId w:val="17"/>
        </w:numPr>
        <w:spacing w:after="200" w:line="276" w:lineRule="auto"/>
      </w:pPr>
      <w:r>
        <w:t>Examine and discuss the role that social workers do and should play in these safety-net programs.</w:t>
      </w:r>
    </w:p>
    <w:p w14:paraId="1BD40D15" w14:textId="77777777" w:rsidR="002E647C" w:rsidRDefault="002E647C" w:rsidP="002E647C">
      <w:pPr>
        <w:pStyle w:val="NoSpacing"/>
        <w:spacing w:line="276" w:lineRule="auto"/>
        <w:ind w:left="720"/>
        <w:rPr>
          <w:b/>
          <w:u w:val="single"/>
        </w:rPr>
      </w:pPr>
      <w:r>
        <w:rPr>
          <w:b/>
          <w:u w:val="single"/>
        </w:rPr>
        <w:t>Required Readings:</w:t>
      </w:r>
    </w:p>
    <w:p w14:paraId="3106A609" w14:textId="77777777" w:rsidR="002E647C" w:rsidRPr="00D479D2" w:rsidRDefault="002E647C" w:rsidP="002E647C">
      <w:pPr>
        <w:pStyle w:val="NoSpacing"/>
        <w:spacing w:line="276" w:lineRule="auto"/>
        <w:ind w:left="720"/>
      </w:pPr>
      <w:r w:rsidRPr="00D479D2">
        <w:t xml:space="preserve">Prime, H., Wade, M., &amp; Browne, D. T. (2020). Risk and resilience in family well-being during the COVID-19 pandemic. </w:t>
      </w:r>
      <w:r w:rsidRPr="00D479D2">
        <w:rPr>
          <w:i/>
        </w:rPr>
        <w:t>American Psychologist</w:t>
      </w:r>
      <w:r w:rsidRPr="00D479D2">
        <w:t xml:space="preserve">, 75(5), 631-643. </w:t>
      </w:r>
    </w:p>
    <w:p w14:paraId="671C8514" w14:textId="77777777" w:rsidR="002E647C" w:rsidRPr="00D479D2" w:rsidRDefault="002E647C" w:rsidP="002E647C">
      <w:pPr>
        <w:pStyle w:val="ListParagraph"/>
      </w:pPr>
    </w:p>
    <w:p w14:paraId="4C2A39FD" w14:textId="77777777" w:rsidR="002E647C" w:rsidRDefault="002E647C" w:rsidP="002E647C">
      <w:pPr>
        <w:pStyle w:val="ListParagraph"/>
      </w:pPr>
      <w:r>
        <w:t>McNutt, J.G. &amp; Hoefer, R. (2016). Poverty, inequality, and income maintenance policy. In Social welfare policy: Responding to a changing world. (chapter 8, p. 160-181). Lyceum.</w:t>
      </w:r>
    </w:p>
    <w:p w14:paraId="0AFF8411" w14:textId="77777777" w:rsidR="002E647C" w:rsidRDefault="002E647C" w:rsidP="002E647C">
      <w:pPr>
        <w:pStyle w:val="ListParagraph"/>
      </w:pPr>
    </w:p>
    <w:p w14:paraId="077A3BE6" w14:textId="77777777" w:rsidR="002E647C" w:rsidRDefault="002E647C" w:rsidP="002E647C">
      <w:pPr>
        <w:pStyle w:val="ListParagraph"/>
      </w:pPr>
      <w:r>
        <w:t xml:space="preserve"> </w:t>
      </w:r>
      <w:r w:rsidRPr="00E33C35">
        <w:t xml:space="preserve">Wusinich, C., Bond, L., Nathanson, A., &amp; Padgett, D. (2019). “If you’re </w:t>
      </w:r>
      <w:proofErr w:type="spellStart"/>
      <w:r w:rsidRPr="00E33C35">
        <w:t>gonna</w:t>
      </w:r>
      <w:proofErr w:type="spellEnd"/>
      <w:r w:rsidRPr="00E33C35">
        <w:t xml:space="preserve"> help me, help me”: Barriers to housing among unsheltered homeless adults. </w:t>
      </w:r>
      <w:r w:rsidRPr="00E33C35">
        <w:rPr>
          <w:i/>
        </w:rPr>
        <w:t>Evaluation and Program Planning</w:t>
      </w:r>
      <w:r w:rsidRPr="00E33C35">
        <w:t>, 76, 101673–. https://doi.org/10.1016/j.evalprogplan.2019.101673</w:t>
      </w:r>
    </w:p>
    <w:tbl>
      <w:tblPr>
        <w:tblW w:w="0" w:type="auto"/>
        <w:tblInd w:w="18" w:type="dxa"/>
        <w:tblLook w:val="04A0" w:firstRow="1" w:lastRow="0" w:firstColumn="1" w:lastColumn="0" w:noHBand="0" w:noVBand="1"/>
      </w:tblPr>
      <w:tblGrid>
        <w:gridCol w:w="6977"/>
        <w:gridCol w:w="2365"/>
      </w:tblGrid>
      <w:tr w:rsidR="002E647C" w:rsidRPr="006B45CD" w14:paraId="14259436" w14:textId="77777777" w:rsidTr="00894E38">
        <w:trPr>
          <w:cantSplit/>
          <w:tblHeader/>
        </w:trPr>
        <w:tc>
          <w:tcPr>
            <w:tcW w:w="6977" w:type="dxa"/>
            <w:shd w:val="clear" w:color="auto" w:fill="C00000"/>
          </w:tcPr>
          <w:p w14:paraId="455A2C3E" w14:textId="77777777" w:rsidR="002E647C" w:rsidRPr="00F23F49" w:rsidRDefault="002E647C" w:rsidP="00C21F24">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Systems: Paying for Security</w:t>
            </w:r>
          </w:p>
        </w:tc>
        <w:tc>
          <w:tcPr>
            <w:tcW w:w="2365" w:type="dxa"/>
            <w:shd w:val="clear" w:color="auto" w:fill="C00000"/>
          </w:tcPr>
          <w:p w14:paraId="2F601580"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00B3A4C0" w14:textId="77777777" w:rsidR="002E647C" w:rsidRPr="00361776" w:rsidRDefault="002E647C" w:rsidP="002E647C">
      <w:pPr>
        <w:rPr>
          <w:sz w:val="16"/>
          <w:szCs w:val="16"/>
        </w:rPr>
      </w:pPr>
    </w:p>
    <w:p w14:paraId="06C41805" w14:textId="77777777" w:rsidR="002E647C" w:rsidRPr="00EC74FB" w:rsidRDefault="002E647C" w:rsidP="002E647C">
      <w:pPr>
        <w:rPr>
          <w:b/>
          <w:u w:val="single"/>
        </w:rPr>
      </w:pPr>
      <w:r w:rsidRPr="00EC74FB">
        <w:tab/>
      </w:r>
      <w:r w:rsidRPr="00EC74FB">
        <w:rPr>
          <w:b/>
          <w:u w:val="single"/>
        </w:rPr>
        <w:t>Topics</w:t>
      </w:r>
      <w:r>
        <w:rPr>
          <w:b/>
          <w:u w:val="single"/>
        </w:rPr>
        <w:t xml:space="preserve"> Encompass</w:t>
      </w:r>
      <w:r w:rsidRPr="00EC74FB">
        <w:rPr>
          <w:b/>
          <w:u w:val="single"/>
        </w:rPr>
        <w:t>:</w:t>
      </w:r>
    </w:p>
    <w:p w14:paraId="2BDA291F" w14:textId="77777777" w:rsidR="002E647C" w:rsidRDefault="002E647C" w:rsidP="002E647C">
      <w:pPr>
        <w:pStyle w:val="ListParagraph"/>
        <w:numPr>
          <w:ilvl w:val="0"/>
          <w:numId w:val="18"/>
        </w:numPr>
        <w:spacing w:after="200" w:line="276" w:lineRule="auto"/>
      </w:pPr>
      <w:r>
        <w:t>Social Security, SSI, Disability insurance, unemployment insurance.</w:t>
      </w:r>
    </w:p>
    <w:p w14:paraId="6B685D2B" w14:textId="77777777" w:rsidR="002E647C" w:rsidRDefault="002E647C" w:rsidP="002E647C">
      <w:pPr>
        <w:pStyle w:val="ListParagraph"/>
        <w:numPr>
          <w:ilvl w:val="0"/>
          <w:numId w:val="18"/>
        </w:numPr>
        <w:spacing w:after="200" w:line="276" w:lineRule="auto"/>
      </w:pPr>
      <w:r>
        <w:t xml:space="preserve">Explore historicity/expansions/reductions of each program </w:t>
      </w:r>
    </w:p>
    <w:p w14:paraId="1DCB2715" w14:textId="77777777" w:rsidR="002E647C" w:rsidRDefault="002E647C" w:rsidP="002E647C">
      <w:pPr>
        <w:pStyle w:val="ListParagraph"/>
        <w:numPr>
          <w:ilvl w:val="0"/>
          <w:numId w:val="18"/>
        </w:numPr>
        <w:spacing w:after="200" w:line="276" w:lineRule="auto"/>
      </w:pPr>
      <w:r>
        <w:t>Explore how the programs are funded at the federal level, and other levels. Assess the scope of need intended to be impacted.  Discuss recent issues (such as the social security Trust Fund “running out of money”).</w:t>
      </w:r>
    </w:p>
    <w:p w14:paraId="15A71471" w14:textId="77777777" w:rsidR="002E647C" w:rsidRDefault="002E647C" w:rsidP="002E647C">
      <w:pPr>
        <w:pStyle w:val="ListParagraph"/>
        <w:numPr>
          <w:ilvl w:val="0"/>
          <w:numId w:val="19"/>
        </w:numPr>
        <w:spacing w:after="200" w:line="276" w:lineRule="auto"/>
      </w:pPr>
      <w:r>
        <w:t>Assess the justness (i.e., equality; fairness) of programs’ financing, compared with larger social factors</w:t>
      </w:r>
    </w:p>
    <w:p w14:paraId="45C7F54A" w14:textId="77777777" w:rsidR="002E647C" w:rsidRDefault="002E647C" w:rsidP="002E647C">
      <w:pPr>
        <w:pStyle w:val="ListParagraph"/>
        <w:numPr>
          <w:ilvl w:val="0"/>
          <w:numId w:val="19"/>
        </w:numPr>
        <w:spacing w:after="200" w:line="276" w:lineRule="auto"/>
      </w:pPr>
      <w:r>
        <w:t xml:space="preserve">Discuss the role of social workers to understand these insurances can be made to work together, be sustainable, and be well-implemented. </w:t>
      </w:r>
    </w:p>
    <w:p w14:paraId="2319E13D" w14:textId="77777777" w:rsidR="002E647C" w:rsidRDefault="002E647C" w:rsidP="002E647C">
      <w:pPr>
        <w:ind w:firstLine="720"/>
      </w:pPr>
      <w:r>
        <w:rPr>
          <w:b/>
          <w:u w:val="single"/>
        </w:rPr>
        <w:t xml:space="preserve">Required </w:t>
      </w:r>
      <w:r w:rsidRPr="00EC74FB">
        <w:rPr>
          <w:b/>
          <w:u w:val="single"/>
        </w:rPr>
        <w:t>Readings</w:t>
      </w:r>
      <w:r>
        <w:t>:</w:t>
      </w:r>
    </w:p>
    <w:p w14:paraId="32E2B455" w14:textId="77777777" w:rsidR="002E647C" w:rsidRDefault="002E647C" w:rsidP="002E647C">
      <w:pPr>
        <w:ind w:left="720"/>
      </w:pPr>
      <w:r>
        <w:t xml:space="preserve">Jansson, B. </w:t>
      </w:r>
      <w:r w:rsidRPr="00D479D2">
        <w:t>(2020).  Becoming policy advocates in the gerontology sector. In Social welfare policy and advocacy: Advancing social justice through eight policy sectors (chapter 8, p 197 – 233). Sage.</w:t>
      </w:r>
    </w:p>
    <w:p w14:paraId="3E2CEC2F" w14:textId="77777777" w:rsidR="002E647C" w:rsidRDefault="002E647C" w:rsidP="002E647C">
      <w:pPr>
        <w:pStyle w:val="ListParagraph"/>
      </w:pPr>
      <w:r w:rsidRPr="00832FBF">
        <w:t>Wehrnann, K., &amp; McClain, A.</w:t>
      </w:r>
      <w:r w:rsidRPr="00832FBF">
        <w:rPr>
          <w:i/>
        </w:rPr>
        <w:t xml:space="preserve"> (2018). </w:t>
      </w:r>
      <w:r w:rsidRPr="006C1A02">
        <w:t>Aging and wellness.</w:t>
      </w:r>
      <w:r w:rsidRPr="00832FBF">
        <w:rPr>
          <w:i/>
        </w:rPr>
        <w:t xml:space="preserve"> </w:t>
      </w:r>
      <w:r w:rsidRPr="006C1A02">
        <w:t>In</w:t>
      </w:r>
      <w:r w:rsidRPr="00832FBF">
        <w:rPr>
          <w:i/>
        </w:rPr>
        <w:t xml:space="preserve"> Social work speaks: National Association of Social Workers policy statemen</w:t>
      </w:r>
      <w:r>
        <w:rPr>
          <w:i/>
        </w:rPr>
        <w:t>ts, 2018-2020 (11th ed.) (pp. 20-24</w:t>
      </w:r>
      <w:r w:rsidRPr="00832FBF">
        <w:rPr>
          <w:i/>
        </w:rPr>
        <w:t xml:space="preserve">). </w:t>
      </w:r>
      <w:r w:rsidRPr="006C1A02">
        <w:t>NASW Press.</w:t>
      </w:r>
    </w:p>
    <w:p w14:paraId="5C6D8F9A" w14:textId="77777777" w:rsidR="002E647C" w:rsidRDefault="002E647C" w:rsidP="002E647C">
      <w:pPr>
        <w:ind w:left="720"/>
      </w:pPr>
      <w:r>
        <w:t xml:space="preserve">Video:  The Atlantic: </w:t>
      </w:r>
      <w:r w:rsidRPr="00A47C5F">
        <w:t>Social Security: The Greatest Government Policy of All Time?</w:t>
      </w:r>
      <w:r>
        <w:t xml:space="preserve"> </w:t>
      </w:r>
      <w:hyperlink r:id="rId15" w:history="1">
        <w:r w:rsidRPr="00F908B8">
          <w:rPr>
            <w:rStyle w:val="Hyperlink"/>
          </w:rPr>
          <w:t>https://www.youtube.com/watch?v=aVQ7PIl3IDE</w:t>
        </w:r>
      </w:hyperlink>
    </w:p>
    <w:p w14:paraId="722B008D" w14:textId="77777777" w:rsidR="002E647C" w:rsidRDefault="002E647C" w:rsidP="002E647C">
      <w:pPr>
        <w:ind w:left="720"/>
      </w:pPr>
      <w:r>
        <w:lastRenderedPageBreak/>
        <w:t>Lam, B. (2016). How can the U.S. salvage social s</w:t>
      </w:r>
      <w:r w:rsidRPr="00A47C5F">
        <w:t>ecurity?</w:t>
      </w:r>
      <w:r>
        <w:t xml:space="preserve"> </w:t>
      </w:r>
      <w:r w:rsidRPr="007B06D3">
        <w:rPr>
          <w:i/>
        </w:rPr>
        <w:t>The Atlantic Monthly</w:t>
      </w:r>
      <w:r>
        <w:t xml:space="preserve">. </w:t>
      </w:r>
      <w:hyperlink r:id="rId16" w:history="1">
        <w:r w:rsidRPr="007B06D3">
          <w:rPr>
            <w:color w:val="0000FF"/>
            <w:u w:val="single"/>
          </w:rPr>
          <w:t>https://www.theatlantic.com/business/archive/2016/04/social-security/476331/</w:t>
        </w:r>
      </w:hyperlink>
    </w:p>
    <w:tbl>
      <w:tblPr>
        <w:tblW w:w="0" w:type="auto"/>
        <w:tblInd w:w="18" w:type="dxa"/>
        <w:tblLook w:val="04A0" w:firstRow="1" w:lastRow="0" w:firstColumn="1" w:lastColumn="0" w:noHBand="0" w:noVBand="1"/>
      </w:tblPr>
      <w:tblGrid>
        <w:gridCol w:w="6982"/>
        <w:gridCol w:w="2360"/>
      </w:tblGrid>
      <w:tr w:rsidR="002E647C" w:rsidRPr="006B45CD" w14:paraId="38B63D51" w14:textId="77777777" w:rsidTr="00C21F24">
        <w:trPr>
          <w:cantSplit/>
          <w:tblHeader/>
        </w:trPr>
        <w:tc>
          <w:tcPr>
            <w:tcW w:w="7110" w:type="dxa"/>
            <w:shd w:val="clear" w:color="auto" w:fill="C00000"/>
          </w:tcPr>
          <w:p w14:paraId="76C119DB" w14:textId="77777777" w:rsidR="002E647C" w:rsidRPr="00F23F49" w:rsidRDefault="002E647C" w:rsidP="00C21F24">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14:paraId="6909D17B"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425B19E7" w14:textId="77777777" w:rsidR="002E647C" w:rsidRDefault="002E647C" w:rsidP="002E647C"/>
    <w:p w14:paraId="3BFD85B7" w14:textId="77777777" w:rsidR="002E647C" w:rsidRPr="00EC74FB" w:rsidRDefault="002E647C" w:rsidP="002E647C">
      <w:pPr>
        <w:ind w:firstLine="720"/>
        <w:rPr>
          <w:b/>
          <w:u w:val="single"/>
        </w:rPr>
      </w:pPr>
      <w:r w:rsidRPr="00EC74FB">
        <w:rPr>
          <w:b/>
          <w:u w:val="single"/>
        </w:rPr>
        <w:t>Topics</w:t>
      </w:r>
      <w:r>
        <w:rPr>
          <w:b/>
          <w:u w:val="single"/>
        </w:rPr>
        <w:t xml:space="preserve"> Encompass</w:t>
      </w:r>
      <w:r w:rsidRPr="00EC74FB">
        <w:rPr>
          <w:b/>
          <w:u w:val="single"/>
        </w:rPr>
        <w:t>:</w:t>
      </w:r>
    </w:p>
    <w:p w14:paraId="07FF8C4F" w14:textId="77777777" w:rsidR="002E647C" w:rsidRDefault="002E647C" w:rsidP="002E647C">
      <w:pPr>
        <w:pStyle w:val="ListParagraph"/>
        <w:numPr>
          <w:ilvl w:val="0"/>
          <w:numId w:val="16"/>
        </w:numPr>
        <w:spacing w:after="200" w:line="276" w:lineRule="auto"/>
      </w:pPr>
      <w:r>
        <w:t>Medicare (Parts A thru D); Affordable Care Act &amp; various state-level implementation thereof (</w:t>
      </w:r>
      <w:proofErr w:type="spellStart"/>
      <w:proofErr w:type="gramStart"/>
      <w:r>
        <w:t>ie</w:t>
      </w:r>
      <w:proofErr w:type="spellEnd"/>
      <w:proofErr w:type="gramEnd"/>
      <w:r>
        <w:t xml:space="preserve"> Covered California); examples of successful health-delivery alternatives.</w:t>
      </w:r>
    </w:p>
    <w:p w14:paraId="71B66978" w14:textId="77777777" w:rsidR="002E647C" w:rsidRDefault="002E647C" w:rsidP="002E647C">
      <w:pPr>
        <w:pStyle w:val="ListParagraph"/>
        <w:numPr>
          <w:ilvl w:val="0"/>
          <w:numId w:val="16"/>
        </w:numPr>
        <w:spacing w:after="200" w:line="276" w:lineRule="auto"/>
      </w:pPr>
      <w:r>
        <w:t>Examine the scope of need faced by Americans, and/or residents in the local community, impacted by physical health issues. Assess (</w:t>
      </w:r>
      <w:proofErr w:type="spellStart"/>
      <w:r>
        <w:t>i</w:t>
      </w:r>
      <w:proofErr w:type="spellEnd"/>
      <w:r>
        <w:t>) the existing program services / resources, (ii) the application process; (iii) the benefits; and (iv) compare what expected outcomes should be vs. actual health outcomes are.</w:t>
      </w:r>
    </w:p>
    <w:p w14:paraId="7DF91853" w14:textId="77777777" w:rsidR="002E647C" w:rsidRDefault="002E647C" w:rsidP="002E647C">
      <w:pPr>
        <w:pStyle w:val="ListParagraph"/>
        <w:numPr>
          <w:ilvl w:val="0"/>
          <w:numId w:val="16"/>
        </w:numPr>
        <w:spacing w:after="200" w:line="276" w:lineRule="auto"/>
      </w:pPr>
      <w:r>
        <w:t>Describe the reforms and procedures and systems created by the Affordable Care Act; its implementation and results; ongoing attempts to roll it back</w:t>
      </w:r>
    </w:p>
    <w:p w14:paraId="5827328B" w14:textId="77777777" w:rsidR="002E647C" w:rsidRDefault="002E647C" w:rsidP="002E647C">
      <w:pPr>
        <w:pStyle w:val="ListParagraph"/>
        <w:numPr>
          <w:ilvl w:val="0"/>
          <w:numId w:val="16"/>
        </w:numPr>
        <w:spacing w:after="200" w:line="276" w:lineRule="auto"/>
      </w:pPr>
      <w:r>
        <w:t>Discuss the adequacy (breadth &amp; depth) of the programs’ coverages, compared with the scope of need. Special cases may be explored, such as veterans’ access to quality medical care.</w:t>
      </w:r>
    </w:p>
    <w:p w14:paraId="72CAEB37" w14:textId="77777777" w:rsidR="002E647C" w:rsidRDefault="002E647C" w:rsidP="002E647C">
      <w:pPr>
        <w:pStyle w:val="ListParagraph"/>
        <w:numPr>
          <w:ilvl w:val="0"/>
          <w:numId w:val="16"/>
        </w:numPr>
        <w:spacing w:after="200" w:line="276" w:lineRule="auto"/>
      </w:pPr>
      <w:r>
        <w:t>Examine and discuss the increasing role social workers have, and should, play in health care systems.</w:t>
      </w:r>
    </w:p>
    <w:p w14:paraId="6DAE8C52" w14:textId="77777777" w:rsidR="002E647C" w:rsidRPr="00845FA9" w:rsidRDefault="002E647C" w:rsidP="002E647C">
      <w:pPr>
        <w:ind w:firstLine="720"/>
        <w:rPr>
          <w:sz w:val="18"/>
          <w:szCs w:val="18"/>
        </w:rPr>
      </w:pPr>
      <w:r w:rsidRPr="00EC74FB">
        <w:rPr>
          <w:b/>
          <w:u w:val="single"/>
        </w:rPr>
        <w:t>R</w:t>
      </w:r>
      <w:r>
        <w:rPr>
          <w:b/>
          <w:u w:val="single"/>
        </w:rPr>
        <w:t>equired R</w:t>
      </w:r>
      <w:r w:rsidRPr="00EC74FB">
        <w:rPr>
          <w:b/>
          <w:u w:val="single"/>
        </w:rPr>
        <w:t>eadings</w:t>
      </w:r>
      <w:r>
        <w:rPr>
          <w:sz w:val="18"/>
          <w:szCs w:val="18"/>
        </w:rPr>
        <w:t>:</w:t>
      </w:r>
    </w:p>
    <w:p w14:paraId="5C4A22FE" w14:textId="77777777" w:rsidR="002E647C" w:rsidRDefault="002E647C" w:rsidP="002E647C">
      <w:pPr>
        <w:pStyle w:val="ListParagraph"/>
      </w:pPr>
      <w:r w:rsidRPr="004C0F9A">
        <w:t xml:space="preserve">Berkowitz, E. (2017). Getting to the Affordable Care Act. </w:t>
      </w:r>
      <w:r w:rsidRPr="004C0F9A">
        <w:rPr>
          <w:i/>
        </w:rPr>
        <w:t>Journal of Policy History</w:t>
      </w:r>
      <w:r w:rsidRPr="004C0F9A">
        <w:t>, 29(4), 519-542. doi:10.1017/S0898030617000252</w:t>
      </w:r>
    </w:p>
    <w:p w14:paraId="232D5832" w14:textId="77777777" w:rsidR="002E647C" w:rsidRDefault="002E647C" w:rsidP="002E647C">
      <w:pPr>
        <w:pStyle w:val="ListParagraph"/>
      </w:pPr>
    </w:p>
    <w:p w14:paraId="1D9D3B8D" w14:textId="77777777" w:rsidR="002E647C" w:rsidRDefault="002E647C" w:rsidP="002E647C">
      <w:pPr>
        <w:pStyle w:val="ListParagraph"/>
      </w:pPr>
      <w:r>
        <w:t>Jansson, B. (2020).  Becoming policy advocates in the h</w:t>
      </w:r>
      <w:r w:rsidRPr="00EC74FB">
        <w:t>ealthca</w:t>
      </w:r>
      <w:r>
        <w:t>re s</w:t>
      </w:r>
      <w:r w:rsidRPr="00EC74FB">
        <w:t>ector</w:t>
      </w:r>
      <w:r>
        <w:t xml:space="preserve">. In </w:t>
      </w:r>
      <w:r>
        <w:rPr>
          <w:i/>
        </w:rPr>
        <w:t>Social welfare policy and advocacy: Advancing social j</w:t>
      </w:r>
      <w:r w:rsidRPr="00212684">
        <w:rPr>
          <w:i/>
        </w:rPr>
        <w:t>ustice</w:t>
      </w:r>
      <w:r>
        <w:rPr>
          <w:i/>
        </w:rPr>
        <w:t xml:space="preserve"> through eight policy s</w:t>
      </w:r>
      <w:r w:rsidRPr="00212684">
        <w:rPr>
          <w:i/>
        </w:rPr>
        <w:t xml:space="preserve">ectors </w:t>
      </w:r>
      <w:r w:rsidRPr="00645C76">
        <w:t>(</w:t>
      </w:r>
      <w:r>
        <w:t xml:space="preserve">chapter 7, pp 157 – 190). Sage. </w:t>
      </w:r>
    </w:p>
    <w:p w14:paraId="34024B58" w14:textId="77777777" w:rsidR="002E647C" w:rsidRDefault="002E647C" w:rsidP="002E647C">
      <w:pPr>
        <w:pStyle w:val="ListParagraph"/>
      </w:pPr>
    </w:p>
    <w:p w14:paraId="57112E82" w14:textId="77777777" w:rsidR="002E647C" w:rsidRDefault="002E647C" w:rsidP="002E647C">
      <w:pPr>
        <w:pStyle w:val="ListParagraph"/>
      </w:pPr>
      <w:r w:rsidRPr="00DA27E9">
        <w:t xml:space="preserve">Wehrnann, K., &amp; McClain, A. (2018). </w:t>
      </w:r>
      <w:r>
        <w:t>Health care</w:t>
      </w:r>
      <w:r w:rsidRPr="00DA27E9">
        <w:t>. In Social work speaks: National Association of Social Workers policy statements,</w:t>
      </w:r>
      <w:r>
        <w:t xml:space="preserve"> 2018-2020 (11th ed.) (pp. 146-151</w:t>
      </w:r>
      <w:r w:rsidRPr="00DA27E9">
        <w:t>). NASW Press.</w:t>
      </w:r>
    </w:p>
    <w:tbl>
      <w:tblPr>
        <w:tblW w:w="0" w:type="auto"/>
        <w:tblInd w:w="18" w:type="dxa"/>
        <w:tblLook w:val="04A0" w:firstRow="1" w:lastRow="0" w:firstColumn="1" w:lastColumn="0" w:noHBand="0" w:noVBand="1"/>
      </w:tblPr>
      <w:tblGrid>
        <w:gridCol w:w="6982"/>
        <w:gridCol w:w="2360"/>
      </w:tblGrid>
      <w:tr w:rsidR="002E647C" w:rsidRPr="006B45CD" w14:paraId="7C94BE2C" w14:textId="77777777" w:rsidTr="00894E38">
        <w:trPr>
          <w:cantSplit/>
          <w:tblHeader/>
        </w:trPr>
        <w:tc>
          <w:tcPr>
            <w:tcW w:w="6982" w:type="dxa"/>
            <w:shd w:val="clear" w:color="auto" w:fill="C00000"/>
          </w:tcPr>
          <w:p w14:paraId="200D5AC8" w14:textId="77777777" w:rsidR="002E647C" w:rsidRPr="00F23F49" w:rsidRDefault="002E647C" w:rsidP="00C21F24">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ACA: Behavioral Health</w:t>
            </w:r>
          </w:p>
        </w:tc>
        <w:tc>
          <w:tcPr>
            <w:tcW w:w="2360" w:type="dxa"/>
            <w:shd w:val="clear" w:color="auto" w:fill="C00000"/>
          </w:tcPr>
          <w:p w14:paraId="3B606879"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7150A47A" w14:textId="77777777" w:rsidR="002E647C" w:rsidRDefault="002E647C" w:rsidP="002E647C">
      <w:pPr>
        <w:pStyle w:val="ListParagraph"/>
        <w:rPr>
          <w:b/>
          <w:u w:val="single"/>
        </w:rPr>
      </w:pPr>
    </w:p>
    <w:p w14:paraId="3DC2DE52" w14:textId="77777777" w:rsidR="002E647C" w:rsidRDefault="002E647C" w:rsidP="002E647C">
      <w:pPr>
        <w:pStyle w:val="ListParagraph"/>
        <w:rPr>
          <w:b/>
          <w:u w:val="single"/>
        </w:rPr>
      </w:pPr>
      <w:r>
        <w:rPr>
          <w:b/>
          <w:u w:val="single"/>
        </w:rPr>
        <w:t>Topics Encompass:</w:t>
      </w:r>
    </w:p>
    <w:p w14:paraId="77D7CF52" w14:textId="77777777" w:rsidR="002E647C" w:rsidRDefault="002E647C" w:rsidP="002E647C">
      <w:pPr>
        <w:pStyle w:val="ListParagraph"/>
        <w:numPr>
          <w:ilvl w:val="0"/>
          <w:numId w:val="16"/>
        </w:numPr>
        <w:spacing w:after="200" w:line="276" w:lineRule="auto"/>
      </w:pPr>
      <w:r>
        <w:t>Medicare and the Affordable Care Act as they pertain to mental health issues and substance abuse; including discuss the Mental Health Parity &amp; Addiction Equity Act of 2008, and the role of “integration.”</w:t>
      </w:r>
    </w:p>
    <w:p w14:paraId="2D396D55" w14:textId="77777777" w:rsidR="002E647C" w:rsidRDefault="002E647C" w:rsidP="002E647C">
      <w:pPr>
        <w:pStyle w:val="ListParagraph"/>
        <w:numPr>
          <w:ilvl w:val="0"/>
          <w:numId w:val="16"/>
        </w:numPr>
        <w:spacing w:after="200" w:line="276" w:lineRule="auto"/>
      </w:pPr>
      <w:r>
        <w:t>Describe the scope of need faced by Americans, and/or residents in the local community, impacted by mental health issues, and substance abuse. Assess (</w:t>
      </w:r>
      <w:proofErr w:type="spellStart"/>
      <w:r>
        <w:t>i</w:t>
      </w:r>
      <w:proofErr w:type="spellEnd"/>
      <w:r>
        <w:t xml:space="preserve">) the </w:t>
      </w:r>
      <w:r>
        <w:lastRenderedPageBreak/>
        <w:t xml:space="preserve">existing program services / resources; (ii) the application process; (iii) the </w:t>
      </w:r>
      <w:proofErr w:type="gramStart"/>
      <w:r>
        <w:t>benefits;  and</w:t>
      </w:r>
      <w:proofErr w:type="gramEnd"/>
      <w:r>
        <w:t xml:space="preserve"> (iv) compare what expected outcomes should be vs. what actual health outcomes are…</w:t>
      </w:r>
    </w:p>
    <w:p w14:paraId="0F242921" w14:textId="77777777" w:rsidR="002E647C" w:rsidRDefault="002E647C" w:rsidP="002E647C">
      <w:pPr>
        <w:pStyle w:val="ListParagraph"/>
        <w:numPr>
          <w:ilvl w:val="0"/>
          <w:numId w:val="16"/>
        </w:numPr>
        <w:spacing w:after="200" w:line="276" w:lineRule="auto"/>
      </w:pPr>
      <w:r>
        <w:t xml:space="preserve">Special issues may be discussed, such as the role of police and prisons as </w:t>
      </w:r>
      <w:r w:rsidRPr="00A455BD">
        <w:rPr>
          <w:i/>
        </w:rPr>
        <w:t>de facto</w:t>
      </w:r>
      <w:r>
        <w:t xml:space="preserve"> systems of care.</w:t>
      </w:r>
    </w:p>
    <w:p w14:paraId="794A82E5" w14:textId="77777777" w:rsidR="002E647C" w:rsidRDefault="002E647C" w:rsidP="002E647C">
      <w:pPr>
        <w:pStyle w:val="ListParagraph"/>
        <w:numPr>
          <w:ilvl w:val="0"/>
          <w:numId w:val="16"/>
        </w:numPr>
        <w:spacing w:after="200" w:line="276" w:lineRule="auto"/>
      </w:pPr>
      <w:r>
        <w:t>Describe the reforms, procedures and systems created by the Affordable Care Act; the implementation thereof; and any results.</w:t>
      </w:r>
    </w:p>
    <w:p w14:paraId="3A8C75F7" w14:textId="77777777" w:rsidR="002E647C" w:rsidRDefault="002E647C" w:rsidP="002E647C">
      <w:pPr>
        <w:pStyle w:val="ListParagraph"/>
        <w:numPr>
          <w:ilvl w:val="0"/>
          <w:numId w:val="16"/>
        </w:numPr>
        <w:spacing w:after="200" w:line="276" w:lineRule="auto"/>
      </w:pPr>
      <w:r>
        <w:t>Discuss the adequacy (breadth &amp; depth) of the programs’ coverages, compared with the scope of need; including an assessment of innovative solutions impacting these problems</w:t>
      </w:r>
    </w:p>
    <w:p w14:paraId="3996586D" w14:textId="77777777" w:rsidR="002E647C" w:rsidRDefault="002E647C" w:rsidP="002E647C">
      <w:pPr>
        <w:pStyle w:val="ListParagraph"/>
        <w:numPr>
          <w:ilvl w:val="0"/>
          <w:numId w:val="16"/>
        </w:numPr>
        <w:spacing w:after="200" w:line="276" w:lineRule="auto"/>
      </w:pPr>
      <w:r>
        <w:t>Examine and discuss the role social workers have, and should, play in the mental health and substance abuse systems.</w:t>
      </w:r>
    </w:p>
    <w:p w14:paraId="57CB2351" w14:textId="77777777" w:rsidR="002E647C" w:rsidRDefault="002E647C" w:rsidP="002E647C">
      <w:pPr>
        <w:pStyle w:val="ListParagraph"/>
        <w:rPr>
          <w:b/>
          <w:u w:val="single"/>
        </w:rPr>
      </w:pPr>
    </w:p>
    <w:p w14:paraId="2716AC79" w14:textId="77777777" w:rsidR="002E647C" w:rsidRDefault="002E647C" w:rsidP="002E647C">
      <w:pPr>
        <w:pStyle w:val="ListParagraph"/>
        <w:rPr>
          <w:b/>
          <w:u w:val="single"/>
        </w:rPr>
      </w:pPr>
      <w:r>
        <w:rPr>
          <w:b/>
          <w:u w:val="single"/>
        </w:rPr>
        <w:t>Required Readings:</w:t>
      </w:r>
    </w:p>
    <w:p w14:paraId="2BE373D4" w14:textId="77777777" w:rsidR="002E647C" w:rsidRPr="0079577D" w:rsidRDefault="002E647C" w:rsidP="002E647C">
      <w:pPr>
        <w:pStyle w:val="ListParagraph"/>
        <w:rPr>
          <w:b/>
          <w:u w:val="single"/>
        </w:rPr>
      </w:pPr>
    </w:p>
    <w:p w14:paraId="4FDF45A3" w14:textId="77777777" w:rsidR="002E647C" w:rsidRDefault="002E647C" w:rsidP="002E647C">
      <w:pPr>
        <w:pStyle w:val="ListParagraph"/>
      </w:pPr>
      <w:r>
        <w:t>Jansson, B. (2020).  Becoming policy a</w:t>
      </w:r>
      <w:r w:rsidRPr="00EC74FB">
        <w:t>dvocates in th</w:t>
      </w:r>
      <w:r>
        <w:t>e mental h</w:t>
      </w:r>
      <w:r w:rsidRPr="00EC74FB">
        <w:t xml:space="preserve">ealth </w:t>
      </w:r>
      <w:r>
        <w:t>and substance abuse s</w:t>
      </w:r>
      <w:r w:rsidRPr="00EC74FB">
        <w:t>ector</w:t>
      </w:r>
      <w:r>
        <w:t xml:space="preserve">. In </w:t>
      </w:r>
      <w:r>
        <w:rPr>
          <w:i/>
        </w:rPr>
        <w:t>Social welfare policy and a</w:t>
      </w:r>
      <w:r w:rsidRPr="00212684">
        <w:rPr>
          <w:i/>
        </w:rPr>
        <w:t>dvo</w:t>
      </w:r>
      <w:r>
        <w:rPr>
          <w:i/>
        </w:rPr>
        <w:t>cacy: Advancing social justice through eight policy s</w:t>
      </w:r>
      <w:r w:rsidRPr="00212684">
        <w:rPr>
          <w:i/>
        </w:rPr>
        <w:t xml:space="preserve">ectors </w:t>
      </w:r>
      <w:r w:rsidRPr="00645C76">
        <w:t>(</w:t>
      </w:r>
      <w:r>
        <w:t xml:space="preserve">chapter 10, pp 289 – 327).  Sage. </w:t>
      </w:r>
    </w:p>
    <w:p w14:paraId="437F4BD7" w14:textId="77777777" w:rsidR="002E647C" w:rsidRDefault="002E647C" w:rsidP="002E647C">
      <w:pPr>
        <w:pStyle w:val="ListParagraph"/>
      </w:pPr>
    </w:p>
    <w:p w14:paraId="058D57D7" w14:textId="77777777" w:rsidR="002E647C" w:rsidRDefault="002E647C" w:rsidP="002E647C">
      <w:pPr>
        <w:pStyle w:val="ListParagraph"/>
      </w:pPr>
      <w:r w:rsidRPr="00BC17A1">
        <w:t>Schuman, D., Cerel, J., &amp; Praetori</w:t>
      </w:r>
      <w:r>
        <w:t>us, R. (2019). Suicide in U.S. women veterans: An interpersonal theory perspective on suicide prevention p</w:t>
      </w:r>
      <w:r w:rsidRPr="00BC17A1">
        <w:t>olicies. </w:t>
      </w:r>
      <w:r w:rsidRPr="00BC17A1">
        <w:rPr>
          <w:i/>
          <w:iCs/>
        </w:rPr>
        <w:t>Social Work in Public Health</w:t>
      </w:r>
      <w:r w:rsidRPr="00BC17A1">
        <w:t>, </w:t>
      </w:r>
      <w:r w:rsidRPr="00BC17A1">
        <w:rPr>
          <w:i/>
          <w:iCs/>
        </w:rPr>
        <w:t>34</w:t>
      </w:r>
      <w:r w:rsidRPr="00BC17A1">
        <w:t xml:space="preserve">(5), 418–429. </w:t>
      </w:r>
      <w:hyperlink r:id="rId17" w:history="1">
        <w:r w:rsidRPr="00A73498">
          <w:rPr>
            <w:rStyle w:val="Hyperlink"/>
          </w:rPr>
          <w:t>https://doi.org/10.1080/19371918.2019.1616028</w:t>
        </w:r>
      </w:hyperlink>
    </w:p>
    <w:p w14:paraId="1A6F99B1" w14:textId="77777777" w:rsidR="002E647C" w:rsidRDefault="002E647C" w:rsidP="002E647C">
      <w:pPr>
        <w:pStyle w:val="ListParagraph"/>
      </w:pPr>
    </w:p>
    <w:p w14:paraId="4667D2D3" w14:textId="77777777" w:rsidR="002E647C" w:rsidRDefault="002E647C" w:rsidP="002E647C">
      <w:pPr>
        <w:pStyle w:val="ListParagraph"/>
      </w:pPr>
      <w:r w:rsidRPr="006065E2">
        <w:t xml:space="preserve">Wildgen, </w:t>
      </w:r>
      <w:r>
        <w:t xml:space="preserve">A. &amp; </w:t>
      </w:r>
      <w:r w:rsidRPr="006065E2">
        <w:t>Denny</w:t>
      </w:r>
      <w:r>
        <w:t>, K. (2020). Health equity’s missing substance: (Re)Engaging the normative in public health discourse and knowledge m</w:t>
      </w:r>
      <w:r w:rsidRPr="006065E2">
        <w:t>aking</w:t>
      </w:r>
      <w:r>
        <w:t xml:space="preserve">. </w:t>
      </w:r>
      <w:r w:rsidRPr="006065E2">
        <w:rPr>
          <w:i/>
        </w:rPr>
        <w:t>Public Health Ethics</w:t>
      </w:r>
      <w:r>
        <w:t xml:space="preserve">. </w:t>
      </w:r>
      <w:r w:rsidRPr="00244396">
        <w:t>https://doi.org/10.1093/phe/phaa019</w:t>
      </w:r>
    </w:p>
    <w:p w14:paraId="180FB2FC" w14:textId="77777777" w:rsidR="002E647C" w:rsidRDefault="002E647C" w:rsidP="002E647C">
      <w:pPr>
        <w:pStyle w:val="ListParagraph"/>
      </w:pPr>
    </w:p>
    <w:p w14:paraId="2D522838" w14:textId="77777777" w:rsidR="002E647C" w:rsidRPr="00FF6410" w:rsidRDefault="002E647C" w:rsidP="002E647C">
      <w:pPr>
        <w:pStyle w:val="ListParagraph"/>
        <w:rPr>
          <w:i/>
        </w:rPr>
      </w:pPr>
      <w:r>
        <w:t xml:space="preserve">National Alliance on Mental Illness [NAMI] (2020). Divert to what? Community services that enhance diversion. </w:t>
      </w:r>
      <w:hyperlink r:id="rId18" w:history="1">
        <w:r w:rsidRPr="00F0694D">
          <w:rPr>
            <w:color w:val="0000FF"/>
            <w:u w:val="single"/>
          </w:rPr>
          <w:t>https://www.nami.org/Support-Education/Publications-Reports/Public-Policy-Reports/Divert-to-What-Community-Services-that-Enhance-Diversion/DiverttoWhat.pdf</w:t>
        </w:r>
      </w:hyperlink>
    </w:p>
    <w:p w14:paraId="43DDA870" w14:textId="77777777" w:rsidR="002E647C" w:rsidRDefault="002E647C" w:rsidP="002E647C">
      <w:pPr>
        <w:pStyle w:val="NoSpacing"/>
        <w:ind w:left="720"/>
      </w:pPr>
      <w:r>
        <w:rPr>
          <w:b/>
          <w:u w:val="single"/>
        </w:rPr>
        <w:t>Recommended Reading</w:t>
      </w:r>
    </w:p>
    <w:p w14:paraId="29939E17" w14:textId="77777777" w:rsidR="002E647C" w:rsidRDefault="002E647C" w:rsidP="002E647C">
      <w:pPr>
        <w:pStyle w:val="NoSpacing"/>
        <w:ind w:left="720"/>
      </w:pPr>
      <w:r>
        <w:t>Roth, Alisa. (2018). Insane: America’s Criminal Treatment of Mental Illness. New York, NY: Basic Books</w:t>
      </w:r>
    </w:p>
    <w:p w14:paraId="1F24A42F" w14:textId="77777777" w:rsidR="002E647C" w:rsidRDefault="002E647C" w:rsidP="002E647C">
      <w:pPr>
        <w:pStyle w:val="NoSpacing"/>
        <w:ind w:left="720"/>
      </w:pPr>
    </w:p>
    <w:p w14:paraId="5BBB7205" w14:textId="77777777" w:rsidR="002E647C" w:rsidRPr="004D1D00" w:rsidRDefault="002E647C" w:rsidP="002E647C">
      <w:pPr>
        <w:pStyle w:val="NoSpacing"/>
        <w:ind w:left="720"/>
      </w:pPr>
      <w:r w:rsidRPr="004D1D00">
        <w:t xml:space="preserve"> Hilinski-Rosick, C. &amp; Walsh, J. (eds.) (2018). </w:t>
      </w:r>
      <w:r w:rsidRPr="004D1D00">
        <w:rPr>
          <w:i/>
          <w:iCs/>
        </w:rPr>
        <w:t xml:space="preserve">Issues in corrections: </w:t>
      </w:r>
      <w:r>
        <w:rPr>
          <w:i/>
          <w:iCs/>
        </w:rPr>
        <w:t>R</w:t>
      </w:r>
      <w:r w:rsidRPr="004D1D00">
        <w:rPr>
          <w:i/>
          <w:iCs/>
        </w:rPr>
        <w:t>esearch, policy, and future prospects. </w:t>
      </w:r>
      <w:r w:rsidRPr="004D1D00">
        <w:t>Lexington Books</w:t>
      </w:r>
    </w:p>
    <w:p w14:paraId="41120694" w14:textId="77777777" w:rsidR="002E647C" w:rsidRDefault="002E647C" w:rsidP="002E647C">
      <w:pPr>
        <w:ind w:left="1440"/>
        <w:rPr>
          <w:sz w:val="18"/>
          <w:szCs w:val="18"/>
        </w:rPr>
      </w:pPr>
    </w:p>
    <w:tbl>
      <w:tblPr>
        <w:tblW w:w="0" w:type="auto"/>
        <w:tblInd w:w="18" w:type="dxa"/>
        <w:tblLook w:val="04A0" w:firstRow="1" w:lastRow="0" w:firstColumn="1" w:lastColumn="0" w:noHBand="0" w:noVBand="1"/>
      </w:tblPr>
      <w:tblGrid>
        <w:gridCol w:w="6977"/>
        <w:gridCol w:w="2365"/>
      </w:tblGrid>
      <w:tr w:rsidR="002E647C" w:rsidRPr="006B45CD" w14:paraId="127AC5CB" w14:textId="77777777" w:rsidTr="00C21F24">
        <w:trPr>
          <w:cantSplit/>
          <w:tblHeader/>
        </w:trPr>
        <w:tc>
          <w:tcPr>
            <w:tcW w:w="7110" w:type="dxa"/>
            <w:shd w:val="clear" w:color="auto" w:fill="C00000"/>
          </w:tcPr>
          <w:p w14:paraId="6B9330A8" w14:textId="77777777" w:rsidR="002E647C" w:rsidRPr="00F23F49" w:rsidRDefault="002E647C" w:rsidP="00C21F24">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eastAsia="Times New Roman" w:hAnsi="Times New Roman" w:cs="Times New Roman"/>
                <w:b/>
                <w:snapToGrid w:val="0"/>
                <w:color w:val="FFFFFF"/>
                <w:sz w:val="24"/>
                <w:szCs w:val="24"/>
              </w:rPr>
              <w:t>Fiscal System: Paying for Health</w:t>
            </w:r>
          </w:p>
        </w:tc>
        <w:tc>
          <w:tcPr>
            <w:tcW w:w="2430" w:type="dxa"/>
            <w:shd w:val="clear" w:color="auto" w:fill="C00000"/>
          </w:tcPr>
          <w:p w14:paraId="08BE9585"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0B02B240" w14:textId="77777777" w:rsidR="002E647C" w:rsidRDefault="002E647C" w:rsidP="002E647C">
      <w:pPr>
        <w:ind w:left="1440"/>
        <w:rPr>
          <w:sz w:val="18"/>
          <w:szCs w:val="18"/>
        </w:rPr>
      </w:pPr>
    </w:p>
    <w:p w14:paraId="017CE8E4" w14:textId="77777777" w:rsidR="002E647C" w:rsidRDefault="002E647C" w:rsidP="002E647C">
      <w:pPr>
        <w:pStyle w:val="ListParagraph"/>
        <w:rPr>
          <w:b/>
          <w:u w:val="single"/>
        </w:rPr>
      </w:pPr>
      <w:r>
        <w:rPr>
          <w:b/>
          <w:u w:val="single"/>
        </w:rPr>
        <w:t>Topics Encompass:</w:t>
      </w:r>
    </w:p>
    <w:p w14:paraId="2FFF29AD" w14:textId="77777777" w:rsidR="002E647C" w:rsidRPr="007579C8" w:rsidRDefault="002E647C" w:rsidP="002E647C">
      <w:pPr>
        <w:pStyle w:val="ListParagraph"/>
        <w:numPr>
          <w:ilvl w:val="0"/>
          <w:numId w:val="25"/>
        </w:numPr>
        <w:spacing w:after="200" w:line="276" w:lineRule="auto"/>
      </w:pPr>
      <w:r w:rsidRPr="007579C8">
        <w:t>Medicare (Parts A through D) and the Affordable Care Act</w:t>
      </w:r>
    </w:p>
    <w:p w14:paraId="6AEEAA30" w14:textId="77777777" w:rsidR="002E647C" w:rsidRPr="007579C8" w:rsidRDefault="002E647C" w:rsidP="002E647C">
      <w:pPr>
        <w:pStyle w:val="ListParagraph"/>
        <w:numPr>
          <w:ilvl w:val="0"/>
          <w:numId w:val="25"/>
        </w:numPr>
        <w:spacing w:after="200" w:line="276" w:lineRule="auto"/>
      </w:pPr>
      <w:r w:rsidRPr="007579C8">
        <w:t>Explore historicity/expansions/reduction of each program; include as a case study the Bush administrations' expansion of part D, as well as the Obama creation of the ACA</w:t>
      </w:r>
    </w:p>
    <w:p w14:paraId="6103DEB2" w14:textId="77777777" w:rsidR="002E647C" w:rsidRPr="007579C8" w:rsidRDefault="002E647C" w:rsidP="002E647C">
      <w:pPr>
        <w:pStyle w:val="ListParagraph"/>
        <w:numPr>
          <w:ilvl w:val="0"/>
          <w:numId w:val="25"/>
        </w:numPr>
        <w:spacing w:after="200" w:line="276" w:lineRule="auto"/>
      </w:pPr>
      <w:r w:rsidRPr="007579C8">
        <w:lastRenderedPageBreak/>
        <w:t>Explore how these programs are funded at the federal level, flowing through and among state, corporate, and local players</w:t>
      </w:r>
    </w:p>
    <w:p w14:paraId="6C83406E" w14:textId="77777777" w:rsidR="002E647C" w:rsidRPr="007579C8" w:rsidRDefault="002E647C" w:rsidP="002E647C">
      <w:pPr>
        <w:pStyle w:val="ListParagraph"/>
        <w:numPr>
          <w:ilvl w:val="0"/>
          <w:numId w:val="25"/>
        </w:numPr>
        <w:spacing w:after="200" w:line="276" w:lineRule="auto"/>
      </w:pPr>
      <w:r w:rsidRPr="007579C8">
        <w:t>Discuss the justness (i.e., equality, fairness) of the programs’ financing and priorities, compared with larger social factors and various populations’ health outcomes</w:t>
      </w:r>
    </w:p>
    <w:p w14:paraId="024BC023" w14:textId="77777777" w:rsidR="002E647C" w:rsidRPr="007579C8" w:rsidRDefault="002E647C" w:rsidP="002E647C">
      <w:pPr>
        <w:pStyle w:val="ListParagraph"/>
        <w:numPr>
          <w:ilvl w:val="0"/>
          <w:numId w:val="25"/>
        </w:numPr>
        <w:spacing w:after="200" w:line="276" w:lineRule="auto"/>
      </w:pPr>
      <w:r w:rsidRPr="007579C8">
        <w:t>Discuss the role of social workers in interacting with the financing and payment systems for health care</w:t>
      </w:r>
    </w:p>
    <w:p w14:paraId="2F16C214" w14:textId="77777777" w:rsidR="002E647C" w:rsidRDefault="002E647C" w:rsidP="002E647C">
      <w:pPr>
        <w:ind w:left="1440"/>
        <w:rPr>
          <w:sz w:val="18"/>
          <w:szCs w:val="18"/>
        </w:rPr>
      </w:pPr>
      <w:r w:rsidRPr="00B64E89">
        <w:rPr>
          <w:sz w:val="18"/>
          <w:szCs w:val="18"/>
        </w:rPr>
        <w:t>Assignment 2 due this week: Collaborative Op-Ed to Address a Community Grand Challenge</w:t>
      </w:r>
    </w:p>
    <w:p w14:paraId="17203810" w14:textId="77777777" w:rsidR="002E647C" w:rsidRDefault="002E647C" w:rsidP="002E647C">
      <w:pPr>
        <w:rPr>
          <w:b/>
          <w:sz w:val="18"/>
          <w:szCs w:val="18"/>
          <w:u w:val="single"/>
        </w:rPr>
      </w:pPr>
      <w:r>
        <w:rPr>
          <w:sz w:val="18"/>
          <w:szCs w:val="18"/>
        </w:rPr>
        <w:tab/>
      </w:r>
      <w:r w:rsidRPr="004B62A4">
        <w:rPr>
          <w:b/>
          <w:sz w:val="18"/>
          <w:szCs w:val="18"/>
          <w:u w:val="single"/>
        </w:rPr>
        <w:t xml:space="preserve">Required Reading: </w:t>
      </w:r>
    </w:p>
    <w:p w14:paraId="4A136A2B" w14:textId="77777777" w:rsidR="002E647C" w:rsidRPr="00E4480E" w:rsidRDefault="002E647C" w:rsidP="002E647C">
      <w:pPr>
        <w:ind w:left="1440"/>
      </w:pPr>
      <w:r w:rsidRPr="00E4480E">
        <w:t xml:space="preserve">Bradley, E., Sipsma, H., &amp; Taylor, L. (2016). American health care paradox - high spending on health care and poor health. </w:t>
      </w:r>
      <w:proofErr w:type="gramStart"/>
      <w:r w:rsidRPr="00E4480E">
        <w:t>QJM :</w:t>
      </w:r>
      <w:proofErr w:type="gramEnd"/>
      <w:r w:rsidRPr="00E4480E">
        <w:t xml:space="preserve"> Monthly Journal of the Association of Physicians, 110(2), hcw187–. </w:t>
      </w:r>
      <w:hyperlink r:id="rId19" w:history="1">
        <w:r w:rsidRPr="00E4480E">
          <w:rPr>
            <w:rStyle w:val="Hyperlink"/>
          </w:rPr>
          <w:t>https://doi.org/10.1093/qjmed/hcw187</w:t>
        </w:r>
      </w:hyperlink>
    </w:p>
    <w:p w14:paraId="65DCE1D7" w14:textId="77777777" w:rsidR="002E647C" w:rsidRDefault="002E647C" w:rsidP="002E647C">
      <w:pPr>
        <w:ind w:left="1440"/>
        <w:rPr>
          <w:rStyle w:val="Hyperlink"/>
        </w:rPr>
      </w:pPr>
      <w:r w:rsidRPr="00E4480E">
        <w:t xml:space="preserve">The Commonwealth Fund (2020). International health care system profiles: The United States.  </w:t>
      </w:r>
      <w:hyperlink r:id="rId20" w:history="1">
        <w:r w:rsidRPr="00E4480E">
          <w:rPr>
            <w:rStyle w:val="Hyperlink"/>
          </w:rPr>
          <w:t>https://www.commonwealthfund.org/international-health-policy-center/countries/united-states</w:t>
        </w:r>
      </w:hyperlink>
    </w:p>
    <w:p w14:paraId="65D0D65C" w14:textId="77777777" w:rsidR="002E647C" w:rsidRPr="00E4480E" w:rsidRDefault="002E647C" w:rsidP="002E647C">
      <w:pPr>
        <w:ind w:left="1440"/>
      </w:pPr>
      <w:r w:rsidRPr="00E4480E">
        <w:t xml:space="preserve">Robert Wood Johnson Foundation (2020). Life Experiences and Income Inequality in the United States. Download full report here: </w:t>
      </w:r>
      <w:hyperlink r:id="rId21" w:history="1">
        <w:r w:rsidRPr="00E4480E">
          <w:rPr>
            <w:color w:val="0000FF"/>
            <w:u w:val="single"/>
          </w:rPr>
          <w:t>https://www.rwjf.org/en/library/research/2019/12/life-experiences-and-income-inequality-in-the-united-states.html</w:t>
        </w:r>
      </w:hyperlink>
    </w:p>
    <w:tbl>
      <w:tblPr>
        <w:tblW w:w="0" w:type="auto"/>
        <w:tblInd w:w="18" w:type="dxa"/>
        <w:tblLook w:val="04A0" w:firstRow="1" w:lastRow="0" w:firstColumn="1" w:lastColumn="0" w:noHBand="0" w:noVBand="1"/>
      </w:tblPr>
      <w:tblGrid>
        <w:gridCol w:w="6976"/>
        <w:gridCol w:w="2366"/>
      </w:tblGrid>
      <w:tr w:rsidR="002E647C" w:rsidRPr="006B45CD" w14:paraId="5A83E9CC" w14:textId="77777777" w:rsidTr="00894E38">
        <w:trPr>
          <w:cantSplit/>
          <w:tblHeader/>
        </w:trPr>
        <w:tc>
          <w:tcPr>
            <w:tcW w:w="6976" w:type="dxa"/>
            <w:shd w:val="clear" w:color="auto" w:fill="C00000"/>
          </w:tcPr>
          <w:p w14:paraId="3558A60F" w14:textId="77777777" w:rsidR="002E647C" w:rsidRPr="00F23F49" w:rsidRDefault="002E647C" w:rsidP="00C21F24">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Pr="00703A0E">
              <w:rPr>
                <w:rFonts w:ascii="Times New Roman" w:hAnsi="Times New Roman"/>
                <w:b/>
                <w:snapToGrid w:val="0"/>
                <w:color w:val="FFFFFF"/>
                <w:sz w:val="24"/>
                <w:szCs w:val="24"/>
              </w:rPr>
              <w:t>Power of Advocacy: Case Study of Making Change and Saving Lives</w:t>
            </w:r>
          </w:p>
        </w:tc>
        <w:tc>
          <w:tcPr>
            <w:tcW w:w="2366" w:type="dxa"/>
            <w:shd w:val="clear" w:color="auto" w:fill="C00000"/>
          </w:tcPr>
          <w:p w14:paraId="24E75A67"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11AD22C9" w14:textId="77777777" w:rsidR="002E647C" w:rsidRDefault="002E647C" w:rsidP="002E647C">
      <w:pPr>
        <w:pStyle w:val="ListParagraph"/>
        <w:ind w:left="1080"/>
      </w:pPr>
    </w:p>
    <w:p w14:paraId="3A1C2D2C" w14:textId="77777777" w:rsidR="002E647C" w:rsidRPr="00E4480E" w:rsidRDefault="002E647C" w:rsidP="002E647C">
      <w:pPr>
        <w:pStyle w:val="ListParagraph"/>
        <w:rPr>
          <w:rFonts w:cstheme="minorHAnsi"/>
          <w:b/>
          <w:u w:val="single"/>
        </w:rPr>
      </w:pPr>
      <w:r w:rsidRPr="00E4480E">
        <w:rPr>
          <w:rFonts w:cstheme="minorHAnsi"/>
          <w:b/>
          <w:u w:val="single"/>
        </w:rPr>
        <w:t>Topics Encompass:</w:t>
      </w:r>
    </w:p>
    <w:p w14:paraId="65FDB4A5" w14:textId="77777777" w:rsidR="002E647C" w:rsidRPr="00E4480E" w:rsidRDefault="002E647C" w:rsidP="002E647C">
      <w:pPr>
        <w:spacing w:after="0" w:line="240" w:lineRule="auto"/>
        <w:ind w:left="720"/>
        <w:rPr>
          <w:rFonts w:eastAsia="Times New Roman" w:cstheme="minorHAnsi"/>
        </w:rPr>
      </w:pPr>
      <w:r w:rsidRPr="00E4480E">
        <w:rPr>
          <w:rFonts w:eastAsia="Times New Roman" w:cstheme="minorHAnsi"/>
          <w:color w:val="282828"/>
          <w:shd w:val="clear" w:color="auto" w:fill="FFFFFF"/>
        </w:rPr>
        <w:t>Screen and discuss the multiple aspects of the documentary </w:t>
      </w:r>
      <w:r w:rsidRPr="00E4480E">
        <w:rPr>
          <w:rFonts w:eastAsia="Times New Roman" w:cstheme="minorHAnsi"/>
          <w:i/>
          <w:iCs/>
          <w:color w:val="282828"/>
          <w:shd w:val="clear" w:color="auto" w:fill="FFFFFF"/>
        </w:rPr>
        <w:t>How to Survive a Plague</w:t>
      </w:r>
      <w:r w:rsidRPr="00E4480E">
        <w:rPr>
          <w:rFonts w:eastAsia="Times New Roman" w:cstheme="minorHAnsi"/>
          <w:color w:val="282828"/>
          <w:shd w:val="clear" w:color="auto" w:fill="FFFFFF"/>
        </w:rPr>
        <w:t>, including the following:</w:t>
      </w:r>
    </w:p>
    <w:p w14:paraId="5107F89B" w14:textId="77777777" w:rsidR="002E647C" w:rsidRPr="00703A0E" w:rsidRDefault="002E647C" w:rsidP="002E647C">
      <w:pPr>
        <w:numPr>
          <w:ilvl w:val="0"/>
          <w:numId w:val="26"/>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How decisions are made and how they can be influenced</w:t>
      </w:r>
    </w:p>
    <w:p w14:paraId="39D923E8" w14:textId="77777777" w:rsidR="002E647C" w:rsidRPr="00703A0E" w:rsidRDefault="002E647C" w:rsidP="002E647C">
      <w:pPr>
        <w:numPr>
          <w:ilvl w:val="0"/>
          <w:numId w:val="26"/>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“Inside” advocacy vs. direct-action “in-your-face” activism</w:t>
      </w:r>
    </w:p>
    <w:p w14:paraId="5A434DB3" w14:textId="77777777" w:rsidR="002E647C" w:rsidRPr="00703A0E" w:rsidRDefault="002E647C" w:rsidP="002E647C">
      <w:pPr>
        <w:numPr>
          <w:ilvl w:val="0"/>
          <w:numId w:val="26"/>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Treatment advocacy ("We want better drug treatment") vs. social advocacy ("We want equal rights")</w:t>
      </w:r>
    </w:p>
    <w:p w14:paraId="6308C4BC" w14:textId="77777777" w:rsidR="002E647C" w:rsidRPr="00703A0E" w:rsidRDefault="002E647C" w:rsidP="002E647C">
      <w:pPr>
        <w:numPr>
          <w:ilvl w:val="0"/>
          <w:numId w:val="26"/>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Role of personal empowerment, as well as collaborative empowerment, and how they mix</w:t>
      </w:r>
    </w:p>
    <w:p w14:paraId="62705209" w14:textId="77777777" w:rsidR="002E647C" w:rsidRPr="00703A0E" w:rsidRDefault="002E647C" w:rsidP="002E647C">
      <w:pPr>
        <w:numPr>
          <w:ilvl w:val="0"/>
          <w:numId w:val="26"/>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Role of science as a driving force</w:t>
      </w:r>
    </w:p>
    <w:p w14:paraId="0A081923" w14:textId="77777777" w:rsidR="002E647C" w:rsidRDefault="002E647C" w:rsidP="002E647C">
      <w:pPr>
        <w:pStyle w:val="NoSpacing"/>
        <w:ind w:firstLine="720"/>
        <w:rPr>
          <w:rFonts w:cstheme="minorHAnsi"/>
        </w:rPr>
      </w:pPr>
      <w:r w:rsidRPr="00E4480E">
        <w:rPr>
          <w:rFonts w:cstheme="minorHAnsi"/>
          <w:b/>
          <w:u w:val="single"/>
        </w:rPr>
        <w:t>Required Readings</w:t>
      </w:r>
      <w:r w:rsidRPr="00E4480E">
        <w:rPr>
          <w:rFonts w:cstheme="minorHAnsi"/>
        </w:rPr>
        <w:t>:</w:t>
      </w:r>
    </w:p>
    <w:p w14:paraId="73B8FC79" w14:textId="77777777" w:rsidR="002E647C" w:rsidRDefault="002E647C" w:rsidP="002E647C">
      <w:pPr>
        <w:pStyle w:val="NoSpacing"/>
        <w:ind w:firstLine="720"/>
        <w:rPr>
          <w:rFonts w:cstheme="minorHAnsi"/>
        </w:rPr>
      </w:pPr>
    </w:p>
    <w:p w14:paraId="1ABAA6F8" w14:textId="77777777" w:rsidR="002E647C" w:rsidRPr="00E4480E" w:rsidRDefault="002E647C" w:rsidP="002E647C">
      <w:pPr>
        <w:pStyle w:val="NoSpacing"/>
        <w:ind w:left="720"/>
        <w:rPr>
          <w:rFonts w:cstheme="minorHAnsi"/>
        </w:rPr>
      </w:pPr>
      <w:r>
        <w:rPr>
          <w:rFonts w:cstheme="minorHAnsi"/>
        </w:rPr>
        <w:t>Bent-Goodley, T. (2015). A c</w:t>
      </w:r>
      <w:r w:rsidRPr="000354CE">
        <w:rPr>
          <w:rFonts w:cstheme="minorHAnsi"/>
        </w:rPr>
        <w:t>a</w:t>
      </w:r>
      <w:r>
        <w:rPr>
          <w:rFonts w:cstheme="minorHAnsi"/>
        </w:rPr>
        <w:t>ll for social work a</w:t>
      </w:r>
      <w:r w:rsidRPr="000354CE">
        <w:rPr>
          <w:rFonts w:cstheme="minorHAnsi"/>
        </w:rPr>
        <w:t>ctivism. </w:t>
      </w:r>
      <w:r w:rsidRPr="000354CE">
        <w:rPr>
          <w:rFonts w:cstheme="minorHAnsi"/>
          <w:i/>
          <w:iCs/>
        </w:rPr>
        <w:t>Social Work</w:t>
      </w:r>
      <w:r w:rsidRPr="000354CE">
        <w:rPr>
          <w:rFonts w:cstheme="minorHAnsi"/>
        </w:rPr>
        <w:t>, </w:t>
      </w:r>
      <w:r w:rsidRPr="000354CE">
        <w:rPr>
          <w:rFonts w:cstheme="minorHAnsi"/>
          <w:i/>
          <w:iCs/>
        </w:rPr>
        <w:t>60</w:t>
      </w:r>
      <w:r w:rsidRPr="000354CE">
        <w:rPr>
          <w:rFonts w:cstheme="minorHAnsi"/>
        </w:rPr>
        <w:t>(2), 101–103. https://doi.org/10.1093/sw/swv005</w:t>
      </w:r>
    </w:p>
    <w:p w14:paraId="05A4390F" w14:textId="77777777" w:rsidR="002E647C" w:rsidRDefault="002E647C" w:rsidP="002E647C">
      <w:pPr>
        <w:pStyle w:val="NoSpacing"/>
        <w:ind w:firstLine="720"/>
        <w:rPr>
          <w:rFonts w:cstheme="minorHAnsi"/>
        </w:rPr>
      </w:pPr>
    </w:p>
    <w:p w14:paraId="082DBA70" w14:textId="77777777" w:rsidR="002E647C" w:rsidRDefault="002E647C" w:rsidP="002E647C">
      <w:pPr>
        <w:pStyle w:val="NoSpacing"/>
        <w:ind w:left="720"/>
        <w:rPr>
          <w:rFonts w:cstheme="minorHAnsi"/>
        </w:rPr>
      </w:pPr>
      <w:r>
        <w:rPr>
          <w:rFonts w:cstheme="minorHAnsi"/>
        </w:rPr>
        <w:t xml:space="preserve">Hartmann, D. (2019). </w:t>
      </w:r>
      <w:r w:rsidRPr="00DE6034">
        <w:rPr>
          <w:rFonts w:cstheme="minorHAnsi"/>
        </w:rPr>
        <w:t>The Ol</w:t>
      </w:r>
      <w:r>
        <w:rPr>
          <w:rFonts w:cstheme="minorHAnsi"/>
        </w:rPr>
        <w:t>ympic “Revolt” of 1968 and its lessons for contemporary African American a</w:t>
      </w:r>
      <w:r w:rsidRPr="00DE6034">
        <w:rPr>
          <w:rFonts w:cstheme="minorHAnsi"/>
        </w:rPr>
        <w:t xml:space="preserve">thletic </w:t>
      </w:r>
      <w:r>
        <w:rPr>
          <w:rFonts w:cstheme="minorHAnsi"/>
        </w:rPr>
        <w:t>a</w:t>
      </w:r>
      <w:r w:rsidRPr="00DE6034">
        <w:rPr>
          <w:rFonts w:cstheme="minorHAnsi"/>
        </w:rPr>
        <w:t>ctivism</w:t>
      </w:r>
      <w:r>
        <w:rPr>
          <w:rFonts w:cstheme="minorHAnsi"/>
        </w:rPr>
        <w:t xml:space="preserve">. </w:t>
      </w:r>
      <w:r w:rsidRPr="00235255">
        <w:rPr>
          <w:rFonts w:cstheme="minorHAnsi"/>
          <w:i/>
        </w:rPr>
        <w:t>European Journal of American Studies</w:t>
      </w:r>
      <w:r>
        <w:rPr>
          <w:rFonts w:cstheme="minorHAnsi"/>
        </w:rPr>
        <w:t xml:space="preserve">. 14 (1). Open Access Journal available here: </w:t>
      </w:r>
      <w:hyperlink r:id="rId22" w:history="1">
        <w:r w:rsidRPr="00A73498">
          <w:rPr>
            <w:rStyle w:val="Hyperlink"/>
            <w:rFonts w:cstheme="minorHAnsi"/>
          </w:rPr>
          <w:t>https://journals.openedition.org/ejas/14335</w:t>
        </w:r>
      </w:hyperlink>
    </w:p>
    <w:p w14:paraId="5D5600D3" w14:textId="77777777" w:rsidR="002E647C" w:rsidRPr="00E4480E" w:rsidRDefault="002E647C" w:rsidP="002E647C">
      <w:pPr>
        <w:pStyle w:val="NoSpacing"/>
        <w:ind w:left="720"/>
        <w:rPr>
          <w:rFonts w:cstheme="minorHAnsi"/>
        </w:rPr>
      </w:pPr>
    </w:p>
    <w:p w14:paraId="476A89F3" w14:textId="77777777" w:rsidR="002E647C" w:rsidRPr="00E4480E" w:rsidRDefault="002E647C" w:rsidP="002E647C">
      <w:pPr>
        <w:pStyle w:val="NoSpacing"/>
        <w:ind w:left="720"/>
        <w:rPr>
          <w:rStyle w:val="Hyperlink"/>
          <w:rFonts w:cstheme="minorHAnsi"/>
        </w:rPr>
      </w:pPr>
      <w:r w:rsidRPr="00E4480E">
        <w:rPr>
          <w:rFonts w:cstheme="minorHAnsi"/>
        </w:rPr>
        <w:lastRenderedPageBreak/>
        <w:t xml:space="preserve">France, D. (2020). </w:t>
      </w:r>
      <w:r w:rsidRPr="007D57E0">
        <w:rPr>
          <w:rFonts w:cstheme="minorHAnsi"/>
          <w:i/>
        </w:rPr>
        <w:t>The activists: How Act-Up forever changed patients’ rights, protests and American political organizing as it’s practiced today</w:t>
      </w:r>
      <w:r w:rsidRPr="00E4480E">
        <w:rPr>
          <w:rFonts w:cstheme="minorHAnsi"/>
        </w:rPr>
        <w:t xml:space="preserve">. </w:t>
      </w:r>
      <w:hyperlink r:id="rId23" w:history="1">
        <w:r w:rsidRPr="00E4480E">
          <w:rPr>
            <w:rStyle w:val="Hyperlink"/>
            <w:rFonts w:cstheme="minorHAnsi"/>
          </w:rPr>
          <w:t>https://www.nytimes.com/interactive/2020/04/13/t-magazine/act-up-aids.html</w:t>
        </w:r>
      </w:hyperlink>
    </w:p>
    <w:p w14:paraId="5D3B0D50" w14:textId="77777777" w:rsidR="002E647C" w:rsidRPr="00EC74FB" w:rsidRDefault="002E647C" w:rsidP="002E647C">
      <w:pPr>
        <w:pStyle w:val="NoSpacing"/>
        <w:ind w:firstLine="720"/>
      </w:pPr>
    </w:p>
    <w:tbl>
      <w:tblPr>
        <w:tblW w:w="0" w:type="auto"/>
        <w:tblInd w:w="18" w:type="dxa"/>
        <w:tblLook w:val="04A0" w:firstRow="1" w:lastRow="0" w:firstColumn="1" w:lastColumn="0" w:noHBand="0" w:noVBand="1"/>
      </w:tblPr>
      <w:tblGrid>
        <w:gridCol w:w="6981"/>
        <w:gridCol w:w="2361"/>
      </w:tblGrid>
      <w:tr w:rsidR="002E647C" w:rsidRPr="006B45CD" w14:paraId="2E78109D" w14:textId="77777777" w:rsidTr="00894E38">
        <w:trPr>
          <w:cantSplit/>
          <w:tblHeader/>
        </w:trPr>
        <w:tc>
          <w:tcPr>
            <w:tcW w:w="6981" w:type="dxa"/>
            <w:shd w:val="clear" w:color="auto" w:fill="C00000"/>
          </w:tcPr>
          <w:p w14:paraId="6BDF648A" w14:textId="77777777" w:rsidR="002E647C" w:rsidRPr="00F23F49" w:rsidRDefault="002E647C" w:rsidP="00C21F24">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Pr="00662AB5">
              <w:rPr>
                <w:rFonts w:ascii="Times New Roman" w:hAnsi="Times New Roman"/>
                <w:b/>
                <w:snapToGrid w:val="0"/>
                <w:color w:val="FFFFFF"/>
                <w:sz w:val="24"/>
                <w:szCs w:val="24"/>
              </w:rPr>
              <w:t>Programs: Education and Children Initiatives</w:t>
            </w:r>
          </w:p>
        </w:tc>
        <w:tc>
          <w:tcPr>
            <w:tcW w:w="2361" w:type="dxa"/>
            <w:shd w:val="clear" w:color="auto" w:fill="C00000"/>
          </w:tcPr>
          <w:p w14:paraId="7420EEDA"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4F2234C5" w14:textId="77777777" w:rsidR="002E647C" w:rsidRDefault="002E647C" w:rsidP="002E647C">
      <w:pPr>
        <w:pStyle w:val="NoSpacing"/>
        <w:spacing w:line="276" w:lineRule="auto"/>
      </w:pPr>
    </w:p>
    <w:p w14:paraId="6E4F4C52" w14:textId="77777777" w:rsidR="002E647C" w:rsidRPr="00EC74FB" w:rsidRDefault="002E647C" w:rsidP="002E647C">
      <w:pPr>
        <w:pStyle w:val="NoSpacing"/>
        <w:ind w:firstLine="720"/>
        <w:rPr>
          <w:b/>
          <w:u w:val="single"/>
        </w:rPr>
      </w:pPr>
      <w:r w:rsidRPr="00EC74FB">
        <w:rPr>
          <w:b/>
          <w:u w:val="single"/>
        </w:rPr>
        <w:t>Topics</w:t>
      </w:r>
      <w:r>
        <w:rPr>
          <w:b/>
          <w:u w:val="single"/>
        </w:rPr>
        <w:t xml:space="preserve"> Encompass</w:t>
      </w:r>
      <w:r w:rsidRPr="00EC74FB">
        <w:rPr>
          <w:b/>
          <w:u w:val="single"/>
        </w:rPr>
        <w:t>:</w:t>
      </w:r>
    </w:p>
    <w:p w14:paraId="732FCF0F" w14:textId="77777777" w:rsidR="002E647C" w:rsidRPr="00AB5968" w:rsidRDefault="002E647C" w:rsidP="002E647C">
      <w:pPr>
        <w:pStyle w:val="NoSpacing"/>
        <w:rPr>
          <w:sz w:val="18"/>
          <w:szCs w:val="18"/>
        </w:rPr>
      </w:pPr>
    </w:p>
    <w:p w14:paraId="0C277A99" w14:textId="77777777" w:rsidR="002E647C" w:rsidRPr="00AB5968" w:rsidRDefault="002E647C" w:rsidP="002E647C">
      <w:pPr>
        <w:pStyle w:val="NoSpacing"/>
        <w:numPr>
          <w:ilvl w:val="1"/>
          <w:numId w:val="27"/>
        </w:numPr>
      </w:pPr>
      <w:r w:rsidRPr="00AB5968">
        <w:t>Head Start, public K–12 education and charter schools, child welfare and transitional youth programs, community &amp; four-year colleges; discuss the American ideal in which education is the cornerstone of personal opportunity.</w:t>
      </w:r>
    </w:p>
    <w:p w14:paraId="6196F4B4" w14:textId="77777777" w:rsidR="002E647C" w:rsidRPr="00AB5968" w:rsidRDefault="002E647C" w:rsidP="002E647C">
      <w:pPr>
        <w:pStyle w:val="NoSpacing"/>
        <w:numPr>
          <w:ilvl w:val="1"/>
          <w:numId w:val="27"/>
        </w:numPr>
      </w:pPr>
      <w:r w:rsidRPr="00AB5968">
        <w:t>Describe the mechanisms and scope of the American public education system. Assess</w:t>
      </w:r>
    </w:p>
    <w:p w14:paraId="77369546" w14:textId="77777777" w:rsidR="002E647C" w:rsidRPr="00AB5968" w:rsidRDefault="002E647C" w:rsidP="002E647C">
      <w:pPr>
        <w:pStyle w:val="NoSpacing"/>
        <w:numPr>
          <w:ilvl w:val="1"/>
          <w:numId w:val="27"/>
        </w:numPr>
      </w:pPr>
      <w:r w:rsidRPr="00AB5968">
        <w:t>The education programs that exist</w:t>
      </w:r>
    </w:p>
    <w:p w14:paraId="04099040" w14:textId="77777777" w:rsidR="002E647C" w:rsidRPr="00AB5968" w:rsidRDefault="002E647C" w:rsidP="002E647C">
      <w:pPr>
        <w:pStyle w:val="NoSpacing"/>
        <w:numPr>
          <w:ilvl w:val="1"/>
          <w:numId w:val="27"/>
        </w:numPr>
      </w:pPr>
      <w:r w:rsidRPr="00AB5968">
        <w:t>History thereof</w:t>
      </w:r>
    </w:p>
    <w:p w14:paraId="7DEF976D" w14:textId="77777777" w:rsidR="002E647C" w:rsidRPr="00AB5968" w:rsidRDefault="002E647C" w:rsidP="002E647C">
      <w:pPr>
        <w:pStyle w:val="NoSpacing"/>
        <w:numPr>
          <w:ilvl w:val="1"/>
          <w:numId w:val="27"/>
        </w:numPr>
      </w:pPr>
      <w:r w:rsidRPr="00AB5968">
        <w:t>How the programs perform</w:t>
      </w:r>
    </w:p>
    <w:p w14:paraId="6B9128EE" w14:textId="77777777" w:rsidR="002E647C" w:rsidRPr="00AB5968" w:rsidRDefault="002E647C" w:rsidP="002E647C">
      <w:pPr>
        <w:pStyle w:val="NoSpacing"/>
        <w:numPr>
          <w:ilvl w:val="1"/>
          <w:numId w:val="27"/>
        </w:numPr>
      </w:pPr>
      <w:r w:rsidRPr="00AB5968">
        <w:t>What the best expected outcomes could (and should) be</w:t>
      </w:r>
    </w:p>
    <w:p w14:paraId="3ADC27E0" w14:textId="77777777" w:rsidR="002E647C" w:rsidRPr="00AB5968" w:rsidRDefault="002E647C" w:rsidP="002E647C">
      <w:pPr>
        <w:pStyle w:val="NoSpacing"/>
        <w:numPr>
          <w:ilvl w:val="1"/>
          <w:numId w:val="27"/>
        </w:numPr>
      </w:pPr>
      <w:r w:rsidRPr="00AB5968">
        <w:t>Special issues to be discussed, depending on current events: the role of the family unit as a unit of opportunity creation; child welfare and transitional youth programs that promote (or hinder) educational success, measuring teaching and student success, charter schools, and/or the place of for-profit education</w:t>
      </w:r>
    </w:p>
    <w:p w14:paraId="2AF28821" w14:textId="77777777" w:rsidR="002E647C" w:rsidRPr="00AB5968" w:rsidRDefault="002E647C" w:rsidP="002E647C">
      <w:pPr>
        <w:pStyle w:val="NoSpacing"/>
        <w:numPr>
          <w:ilvl w:val="1"/>
          <w:numId w:val="27"/>
        </w:numPr>
      </w:pPr>
      <w:r w:rsidRPr="00AB5968">
        <w:t>Examine and discuss the role that social workers do and should play in these various education arenas, from school social worker to creating your own school</w:t>
      </w:r>
    </w:p>
    <w:p w14:paraId="355D25F7" w14:textId="77777777" w:rsidR="002E647C" w:rsidRDefault="002E647C" w:rsidP="002E647C">
      <w:pPr>
        <w:pStyle w:val="NoSpacing"/>
        <w:ind w:firstLine="720"/>
        <w:rPr>
          <w:b/>
          <w:u w:val="single"/>
        </w:rPr>
      </w:pPr>
    </w:p>
    <w:p w14:paraId="5186559D" w14:textId="77777777" w:rsidR="002E647C" w:rsidRDefault="002E647C" w:rsidP="002E647C">
      <w:pPr>
        <w:pStyle w:val="NoSpacing"/>
        <w:ind w:firstLine="720"/>
      </w:pPr>
      <w:r w:rsidRPr="00EC74FB">
        <w:rPr>
          <w:b/>
          <w:u w:val="single"/>
        </w:rPr>
        <w:t>Re</w:t>
      </w:r>
      <w:r>
        <w:rPr>
          <w:b/>
          <w:u w:val="single"/>
        </w:rPr>
        <w:t>quired Re</w:t>
      </w:r>
      <w:r w:rsidRPr="00EC74FB">
        <w:rPr>
          <w:b/>
          <w:u w:val="single"/>
        </w:rPr>
        <w:t>ading</w:t>
      </w:r>
      <w:r>
        <w:rPr>
          <w:b/>
          <w:u w:val="single"/>
        </w:rPr>
        <w:t>s</w:t>
      </w:r>
      <w:r w:rsidRPr="00EC74FB">
        <w:t>:</w:t>
      </w:r>
    </w:p>
    <w:p w14:paraId="298F3C8E" w14:textId="77777777" w:rsidR="002E647C" w:rsidRPr="00EC74FB" w:rsidRDefault="002E647C" w:rsidP="002E647C">
      <w:pPr>
        <w:pStyle w:val="NoSpacing"/>
        <w:ind w:firstLine="720"/>
      </w:pPr>
      <w:r w:rsidRPr="00EC74FB">
        <w:tab/>
      </w:r>
    </w:p>
    <w:p w14:paraId="7712E93A" w14:textId="77777777" w:rsidR="002E647C" w:rsidRPr="00EC74FB" w:rsidRDefault="002E647C" w:rsidP="002E647C">
      <w:pPr>
        <w:pStyle w:val="NoSpacing"/>
        <w:ind w:left="720"/>
      </w:pPr>
      <w:r>
        <w:t xml:space="preserve">Gladwell, Malcom. (2009, May 11). How David beats Goliath: When underdogs break the rules. </w:t>
      </w:r>
      <w:r w:rsidRPr="0020665D">
        <w:rPr>
          <w:i/>
        </w:rPr>
        <w:t>The New Yorker.</w:t>
      </w:r>
      <w:r w:rsidRPr="001D7688">
        <w:t xml:space="preserve"> </w:t>
      </w:r>
      <w:hyperlink r:id="rId24" w:history="1">
        <w:r w:rsidRPr="001D7688">
          <w:rPr>
            <w:color w:val="0000FF"/>
            <w:u w:val="single"/>
          </w:rPr>
          <w:t>https://www.newyorker.com/magazine/2009/05/11/how-david-beats-goliath</w:t>
        </w:r>
      </w:hyperlink>
    </w:p>
    <w:p w14:paraId="2B8A4783" w14:textId="77777777" w:rsidR="002E647C" w:rsidRDefault="002E647C" w:rsidP="002E647C">
      <w:pPr>
        <w:pStyle w:val="ListParagraph"/>
      </w:pPr>
    </w:p>
    <w:p w14:paraId="72E646BA" w14:textId="77777777" w:rsidR="002E647C" w:rsidRDefault="002E647C" w:rsidP="002E647C">
      <w:pPr>
        <w:pStyle w:val="ListParagraph"/>
      </w:pPr>
      <w:r>
        <w:t xml:space="preserve">Jansson, B. (2020).  Becoming policy advocates in the education sector. In </w:t>
      </w:r>
      <w:r>
        <w:rPr>
          <w:i/>
        </w:rPr>
        <w:t>Social welfare policy and a</w:t>
      </w:r>
      <w:r w:rsidRPr="00212684">
        <w:rPr>
          <w:i/>
        </w:rPr>
        <w:t>dvo</w:t>
      </w:r>
      <w:r>
        <w:rPr>
          <w:i/>
        </w:rPr>
        <w:t>cacy: Advancing social justice through eight policy s</w:t>
      </w:r>
      <w:r w:rsidRPr="00212684">
        <w:rPr>
          <w:i/>
        </w:rPr>
        <w:t xml:space="preserve">ectors </w:t>
      </w:r>
      <w:r w:rsidRPr="00645C76">
        <w:t>(</w:t>
      </w:r>
      <w:r>
        <w:t xml:space="preserve">chapter 12, pp 379 - 420). Sage. </w:t>
      </w:r>
    </w:p>
    <w:p w14:paraId="07343B1F" w14:textId="77777777" w:rsidR="002E647C" w:rsidRDefault="002E647C" w:rsidP="002E647C">
      <w:pPr>
        <w:pStyle w:val="ListParagraph"/>
      </w:pPr>
    </w:p>
    <w:p w14:paraId="79CCB6F3" w14:textId="77777777" w:rsidR="002E647C" w:rsidRDefault="002E647C" w:rsidP="002E647C">
      <w:pPr>
        <w:pStyle w:val="ListParagraph"/>
      </w:pPr>
      <w:r>
        <w:t xml:space="preserve">Stewart, M. (2018). The birth of the new aristocracy. </w:t>
      </w:r>
      <w:r w:rsidRPr="004C6195">
        <w:rPr>
          <w:i/>
        </w:rPr>
        <w:t>The Atlantic Monthly</w:t>
      </w:r>
      <w:r>
        <w:t xml:space="preserve">. 322 (2) 8-12.   </w:t>
      </w:r>
    </w:p>
    <w:p w14:paraId="4D3F5C9D" w14:textId="59B8A374" w:rsidR="002E647C" w:rsidRPr="00216321" w:rsidRDefault="002E647C" w:rsidP="002E647C">
      <w:pPr>
        <w:jc w:val="center"/>
        <w:rPr>
          <w:b/>
          <w:sz w:val="36"/>
          <w:szCs w:val="36"/>
        </w:rPr>
      </w:pPr>
      <w:r w:rsidRPr="00AE237B">
        <w:rPr>
          <w:b/>
          <w:sz w:val="36"/>
          <w:szCs w:val="36"/>
          <w:highlight w:val="yellow"/>
        </w:rPr>
        <w:t>Third Module</w:t>
      </w:r>
      <w:r>
        <w:rPr>
          <w:b/>
          <w:sz w:val="36"/>
          <w:szCs w:val="36"/>
          <w:highlight w:val="yellow"/>
        </w:rPr>
        <w:t xml:space="preserve"> Units 12-15</w:t>
      </w:r>
      <w:r w:rsidRPr="00AE237B">
        <w:rPr>
          <w:b/>
          <w:sz w:val="36"/>
          <w:szCs w:val="36"/>
          <w:highlight w:val="yellow"/>
        </w:rPr>
        <w:t>: Systems to Create Opportunity</w:t>
      </w:r>
    </w:p>
    <w:tbl>
      <w:tblPr>
        <w:tblW w:w="0" w:type="auto"/>
        <w:tblInd w:w="18" w:type="dxa"/>
        <w:tblLook w:val="04A0" w:firstRow="1" w:lastRow="0" w:firstColumn="1" w:lastColumn="0" w:noHBand="0" w:noVBand="1"/>
      </w:tblPr>
      <w:tblGrid>
        <w:gridCol w:w="6981"/>
        <w:gridCol w:w="2361"/>
      </w:tblGrid>
      <w:tr w:rsidR="002E647C" w:rsidRPr="006B45CD" w14:paraId="2F66A5D8" w14:textId="77777777" w:rsidTr="00C21F24">
        <w:trPr>
          <w:cantSplit/>
          <w:tblHeader/>
        </w:trPr>
        <w:tc>
          <w:tcPr>
            <w:tcW w:w="7110" w:type="dxa"/>
            <w:shd w:val="clear" w:color="auto" w:fill="C00000"/>
          </w:tcPr>
          <w:p w14:paraId="12D0CC21" w14:textId="77777777" w:rsidR="002E647C" w:rsidRPr="00F23F49" w:rsidRDefault="002E647C" w:rsidP="00C21F24">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 xml:space="preserve">Programs: Child and Family Sector </w:t>
            </w:r>
          </w:p>
        </w:tc>
        <w:tc>
          <w:tcPr>
            <w:tcW w:w="2430" w:type="dxa"/>
            <w:shd w:val="clear" w:color="auto" w:fill="C00000"/>
          </w:tcPr>
          <w:p w14:paraId="6F33C056"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0FF51A07" w14:textId="77777777" w:rsidR="002E647C" w:rsidRPr="004F0FC8" w:rsidRDefault="002E647C" w:rsidP="002E647C">
      <w:pPr>
        <w:rPr>
          <w:b/>
          <w:sz w:val="16"/>
          <w:szCs w:val="16"/>
        </w:rPr>
      </w:pPr>
    </w:p>
    <w:p w14:paraId="48F427C1" w14:textId="77777777" w:rsidR="002E647C" w:rsidRPr="00EC74FB" w:rsidRDefault="002E647C" w:rsidP="002E647C">
      <w:pPr>
        <w:pStyle w:val="NoSpacing"/>
        <w:ind w:firstLine="720"/>
        <w:rPr>
          <w:b/>
          <w:u w:val="single"/>
        </w:rPr>
      </w:pPr>
      <w:r w:rsidRPr="00EC74FB">
        <w:rPr>
          <w:b/>
          <w:u w:val="single"/>
        </w:rPr>
        <w:t>Topics</w:t>
      </w:r>
      <w:r>
        <w:rPr>
          <w:b/>
          <w:u w:val="single"/>
        </w:rPr>
        <w:t xml:space="preserve"> Encompass</w:t>
      </w:r>
      <w:r w:rsidRPr="00EC74FB">
        <w:rPr>
          <w:b/>
          <w:u w:val="single"/>
        </w:rPr>
        <w:t>:</w:t>
      </w:r>
    </w:p>
    <w:p w14:paraId="59A5ED34" w14:textId="77777777" w:rsidR="002E647C" w:rsidRDefault="002E647C" w:rsidP="002E647C">
      <w:pPr>
        <w:pStyle w:val="ListParagraph"/>
        <w:numPr>
          <w:ilvl w:val="0"/>
          <w:numId w:val="17"/>
        </w:numPr>
        <w:spacing w:after="200" w:line="276" w:lineRule="auto"/>
      </w:pPr>
      <w:r>
        <w:t>child welfare &amp; transitional youth programs; child protective services</w:t>
      </w:r>
    </w:p>
    <w:p w14:paraId="4D89D8C7" w14:textId="77777777" w:rsidR="002E647C" w:rsidRDefault="002E647C" w:rsidP="002E647C">
      <w:pPr>
        <w:pStyle w:val="ListParagraph"/>
        <w:numPr>
          <w:ilvl w:val="0"/>
          <w:numId w:val="17"/>
        </w:numPr>
        <w:spacing w:after="200" w:line="276" w:lineRule="auto"/>
      </w:pPr>
      <w:r>
        <w:t xml:space="preserve">Special issues to be discussed, depending on current events:  the role of the family unit as a unit of opportunity creation; child welfare, foster care &amp; transitional youth programs that promote (or hinder) </w:t>
      </w:r>
    </w:p>
    <w:p w14:paraId="3C4E31EB" w14:textId="77777777" w:rsidR="002E647C" w:rsidRDefault="002E647C" w:rsidP="002E647C">
      <w:pPr>
        <w:pStyle w:val="ListParagraph"/>
        <w:ind w:left="1440"/>
      </w:pPr>
      <w:r>
        <w:t xml:space="preserve">success; immigration policy; measuring teaching and student success; charter schools; and/or the place of for-profit education.  </w:t>
      </w:r>
    </w:p>
    <w:p w14:paraId="1EDDE63B" w14:textId="77777777" w:rsidR="002E647C" w:rsidRDefault="002E647C" w:rsidP="002E647C">
      <w:pPr>
        <w:pStyle w:val="ListParagraph"/>
        <w:numPr>
          <w:ilvl w:val="0"/>
          <w:numId w:val="17"/>
        </w:numPr>
        <w:spacing w:after="200" w:line="276" w:lineRule="auto"/>
      </w:pPr>
      <w:r>
        <w:lastRenderedPageBreak/>
        <w:t>Examine and discuss the role that social workers do and should play in the child welfare realm</w:t>
      </w:r>
    </w:p>
    <w:p w14:paraId="41D62174" w14:textId="77777777" w:rsidR="002E647C" w:rsidRPr="00EC74FB" w:rsidRDefault="002E647C" w:rsidP="002E647C">
      <w:pPr>
        <w:pStyle w:val="NoSpacing"/>
        <w:ind w:firstLine="720"/>
        <w:rPr>
          <w:b/>
          <w:u w:val="single"/>
        </w:rPr>
      </w:pPr>
      <w:r w:rsidRPr="00EC74FB">
        <w:rPr>
          <w:b/>
          <w:u w:val="single"/>
        </w:rPr>
        <w:t>Re</w:t>
      </w:r>
      <w:r>
        <w:rPr>
          <w:b/>
          <w:u w:val="single"/>
        </w:rPr>
        <w:t>quired Re</w:t>
      </w:r>
      <w:r w:rsidRPr="00EC74FB">
        <w:rPr>
          <w:b/>
          <w:u w:val="single"/>
        </w:rPr>
        <w:t>adings:</w:t>
      </w:r>
    </w:p>
    <w:p w14:paraId="4ECE2593" w14:textId="77777777" w:rsidR="002E647C" w:rsidRDefault="002E647C" w:rsidP="002E647C">
      <w:pPr>
        <w:pStyle w:val="NoSpacing"/>
      </w:pPr>
      <w:r w:rsidRPr="00EC74FB">
        <w:tab/>
      </w:r>
      <w:r w:rsidRPr="00EC74FB">
        <w:tab/>
      </w:r>
    </w:p>
    <w:p w14:paraId="5584485A" w14:textId="77777777" w:rsidR="002E647C" w:rsidRDefault="002E647C" w:rsidP="002E647C">
      <w:pPr>
        <w:pStyle w:val="ListParagraph"/>
      </w:pPr>
      <w:r>
        <w:t>Jansson, B. (2020).  Becoming policy advocates in the child and family s</w:t>
      </w:r>
      <w:r w:rsidRPr="00EC74FB">
        <w:t>ector</w:t>
      </w:r>
      <w:r>
        <w:t xml:space="preserve">. In </w:t>
      </w:r>
      <w:r>
        <w:rPr>
          <w:i/>
        </w:rPr>
        <w:t>Social welfare policy and a</w:t>
      </w:r>
      <w:r w:rsidRPr="00212684">
        <w:rPr>
          <w:i/>
        </w:rPr>
        <w:t>dvo</w:t>
      </w:r>
      <w:r>
        <w:rPr>
          <w:i/>
        </w:rPr>
        <w:t>cacy: Advancing social justice through eight policy s</w:t>
      </w:r>
      <w:r w:rsidRPr="00212684">
        <w:rPr>
          <w:i/>
        </w:rPr>
        <w:t xml:space="preserve">ectors </w:t>
      </w:r>
      <w:r w:rsidRPr="00645C76">
        <w:t>(</w:t>
      </w:r>
      <w:r>
        <w:t xml:space="preserve">chapter 11, pp 333 – 371). Sage. </w:t>
      </w:r>
    </w:p>
    <w:p w14:paraId="4ED87744" w14:textId="77777777" w:rsidR="002E647C" w:rsidRDefault="002E647C" w:rsidP="002E647C">
      <w:pPr>
        <w:pStyle w:val="ListParagraph"/>
      </w:pPr>
    </w:p>
    <w:p w14:paraId="61644BFC" w14:textId="77777777" w:rsidR="002E647C" w:rsidRDefault="002E647C" w:rsidP="002E647C">
      <w:pPr>
        <w:pStyle w:val="ListParagraph"/>
      </w:pPr>
      <w:r w:rsidRPr="00681B2A">
        <w:t>Doyle, J. J., Jr, &amp; Aizer, A. (2018). Economics of child protection: Maltreatment, foster care, and intimate partner violence</w:t>
      </w:r>
      <w:r>
        <w:rPr>
          <w:i/>
        </w:rPr>
        <w:t>. Annual Review of E</w:t>
      </w:r>
      <w:r w:rsidRPr="00681B2A">
        <w:rPr>
          <w:i/>
        </w:rPr>
        <w:t xml:space="preserve">conomics, </w:t>
      </w:r>
      <w:r w:rsidRPr="00681B2A">
        <w:t xml:space="preserve">10, 87–108. </w:t>
      </w:r>
    </w:p>
    <w:p w14:paraId="5FC3EC0B" w14:textId="77777777" w:rsidR="002E647C" w:rsidRPr="00FF6410" w:rsidRDefault="002E647C" w:rsidP="002E647C">
      <w:pPr>
        <w:pStyle w:val="ListParagraph"/>
        <w:rPr>
          <w:i/>
        </w:rPr>
      </w:pPr>
      <w:r>
        <w:t xml:space="preserve">Open access available here:  </w:t>
      </w:r>
      <w:r w:rsidRPr="00681B2A">
        <w:t>https://doi.org/10.1146/annurev-economics-080217-053237</w:t>
      </w:r>
    </w:p>
    <w:p w14:paraId="7A43589B" w14:textId="77777777" w:rsidR="002E647C" w:rsidRDefault="002E647C" w:rsidP="002E647C">
      <w:pPr>
        <w:pStyle w:val="NoSpacing"/>
      </w:pPr>
    </w:p>
    <w:tbl>
      <w:tblPr>
        <w:tblW w:w="0" w:type="auto"/>
        <w:tblInd w:w="18" w:type="dxa"/>
        <w:tblLook w:val="04A0" w:firstRow="1" w:lastRow="0" w:firstColumn="1" w:lastColumn="0" w:noHBand="0" w:noVBand="1"/>
      </w:tblPr>
      <w:tblGrid>
        <w:gridCol w:w="6979"/>
        <w:gridCol w:w="2363"/>
      </w:tblGrid>
      <w:tr w:rsidR="002E647C" w:rsidRPr="006B45CD" w14:paraId="0C1CA463" w14:textId="77777777" w:rsidTr="00C21F24">
        <w:trPr>
          <w:cantSplit/>
          <w:tblHeader/>
        </w:trPr>
        <w:tc>
          <w:tcPr>
            <w:tcW w:w="7110" w:type="dxa"/>
            <w:shd w:val="clear" w:color="auto" w:fill="C00000"/>
          </w:tcPr>
          <w:p w14:paraId="04AB20C2" w14:textId="77777777" w:rsidR="002E647C" w:rsidRPr="00F23F49" w:rsidRDefault="002E647C" w:rsidP="00C21F24">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14:paraId="34145C10"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41DB23E2" w14:textId="77777777" w:rsidR="002E647C" w:rsidRPr="00E4480E" w:rsidRDefault="002E647C" w:rsidP="002E647C">
      <w:pPr>
        <w:shd w:val="clear" w:color="auto" w:fill="FFFFFF"/>
        <w:spacing w:before="100" w:beforeAutospacing="1" w:after="100" w:afterAutospacing="1" w:line="240" w:lineRule="auto"/>
        <w:ind w:left="720"/>
        <w:rPr>
          <w:rFonts w:cstheme="minorHAnsi"/>
          <w:b/>
          <w:u w:val="single"/>
        </w:rPr>
      </w:pPr>
      <w:r w:rsidRPr="00E4480E">
        <w:rPr>
          <w:rFonts w:cstheme="minorHAnsi"/>
          <w:b/>
          <w:u w:val="single"/>
        </w:rPr>
        <w:t xml:space="preserve">Topics Encompass: </w:t>
      </w:r>
    </w:p>
    <w:p w14:paraId="0EFC7E9B" w14:textId="77777777" w:rsidR="002E647C" w:rsidRPr="00E4480E" w:rsidRDefault="002E647C" w:rsidP="002E647C">
      <w:pPr>
        <w:pStyle w:val="ListParagraph"/>
        <w:numPr>
          <w:ilvl w:val="0"/>
          <w:numId w:val="2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Basic government budgeting at the federal level, including a review of the sources of federal income and its disbursement, and aspects of tax expenditures and loopholes</w:t>
      </w:r>
    </w:p>
    <w:p w14:paraId="0791AA33" w14:textId="77777777" w:rsidR="002E647C" w:rsidRPr="00E4480E" w:rsidRDefault="002E647C" w:rsidP="002E647C">
      <w:pPr>
        <w:pStyle w:val="ListParagraph"/>
        <w:numPr>
          <w:ilvl w:val="0"/>
          <w:numId w:val="2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Describe tax policy at the individual level</w:t>
      </w:r>
    </w:p>
    <w:p w14:paraId="7A3B083E" w14:textId="77777777" w:rsidR="002E647C" w:rsidRPr="00E4480E" w:rsidRDefault="002E647C" w:rsidP="002E647C">
      <w:pPr>
        <w:pStyle w:val="ListParagraph"/>
        <w:numPr>
          <w:ilvl w:val="0"/>
          <w:numId w:val="2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Examine the role between tax policy and social service funding, adequacy, and fairness</w:t>
      </w:r>
    </w:p>
    <w:p w14:paraId="45B828AF" w14:textId="77777777" w:rsidR="002E647C" w:rsidRPr="00E4480E" w:rsidRDefault="002E647C" w:rsidP="002E647C">
      <w:pPr>
        <w:pStyle w:val="ListParagraph"/>
        <w:numPr>
          <w:ilvl w:val="0"/>
          <w:numId w:val="2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Discuss special issues as per current events, possibly including the role of 501c3 nonprofits and 501c4 political groups, government contracting and privatization, and/or an examination of the flow of wealth and resources throughout society</w:t>
      </w:r>
    </w:p>
    <w:p w14:paraId="44FDACA6" w14:textId="77777777" w:rsidR="002E647C" w:rsidRPr="00E4480E" w:rsidRDefault="002E647C" w:rsidP="002E647C">
      <w:pPr>
        <w:pStyle w:val="ListParagraph"/>
        <w:numPr>
          <w:ilvl w:val="0"/>
          <w:numId w:val="2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Examine whether and the extent to which social workers should focus on tax policy and budgets</w:t>
      </w:r>
    </w:p>
    <w:p w14:paraId="52D5256F" w14:textId="77777777" w:rsidR="002E647C" w:rsidRDefault="002E647C" w:rsidP="002E647C">
      <w:pPr>
        <w:ind w:left="720"/>
        <w:rPr>
          <w:rFonts w:cstheme="minorHAnsi"/>
          <w:b/>
          <w:u w:val="single"/>
        </w:rPr>
      </w:pPr>
      <w:r w:rsidRPr="00E4480E">
        <w:rPr>
          <w:rFonts w:cstheme="minorHAnsi"/>
          <w:b/>
          <w:u w:val="single"/>
        </w:rPr>
        <w:t>Required Readings:</w:t>
      </w:r>
    </w:p>
    <w:p w14:paraId="5609F7F4" w14:textId="77777777" w:rsidR="002E647C" w:rsidRPr="00A4016E" w:rsidRDefault="002E647C" w:rsidP="002E647C">
      <w:pPr>
        <w:ind w:left="720"/>
        <w:rPr>
          <w:rFonts w:cstheme="minorHAnsi"/>
        </w:rPr>
      </w:pPr>
      <w:r w:rsidRPr="00A4016E">
        <w:rPr>
          <w:rFonts w:cstheme="minorHAnsi"/>
        </w:rPr>
        <w:t xml:space="preserve">Jansson, B. (2001).  On the magnitude of failed national priorities. In </w:t>
      </w:r>
      <w:r w:rsidRPr="00A4016E">
        <w:rPr>
          <w:rFonts w:cstheme="minorHAnsi"/>
          <w:i/>
        </w:rPr>
        <w:t xml:space="preserve">The sixteen-trillion-dollar mistake </w:t>
      </w:r>
      <w:r w:rsidRPr="00A4016E">
        <w:rPr>
          <w:rFonts w:cstheme="minorHAnsi"/>
        </w:rPr>
        <w:t xml:space="preserve">(chapter 15, pp 349 – 390). Columbia University Press.  </w:t>
      </w:r>
      <w:r>
        <w:rPr>
          <w:rFonts w:cstheme="minorHAnsi"/>
        </w:rPr>
        <w:t xml:space="preserve">(For historical context) </w:t>
      </w:r>
    </w:p>
    <w:p w14:paraId="577A234E" w14:textId="77777777" w:rsidR="002E647C" w:rsidRPr="00A4016E" w:rsidRDefault="002E647C" w:rsidP="002E647C">
      <w:pPr>
        <w:ind w:left="720"/>
        <w:rPr>
          <w:rFonts w:cstheme="minorHAnsi"/>
        </w:rPr>
      </w:pPr>
      <w:r w:rsidRPr="00A4016E">
        <w:rPr>
          <w:rFonts w:cstheme="minorHAnsi"/>
        </w:rPr>
        <w:t xml:space="preserve">Musell, R.M. (2020). </w:t>
      </w:r>
      <w:r w:rsidRPr="00A4016E">
        <w:rPr>
          <w:rFonts w:cstheme="minorHAnsi"/>
          <w:i/>
        </w:rPr>
        <w:t xml:space="preserve">Understanding government budgets: A guide </w:t>
      </w:r>
      <w:r>
        <w:rPr>
          <w:rFonts w:cstheme="minorHAnsi"/>
          <w:i/>
        </w:rPr>
        <w:t xml:space="preserve">to </w:t>
      </w:r>
      <w:r w:rsidRPr="00A4016E">
        <w:rPr>
          <w:rFonts w:cstheme="minorHAnsi"/>
          <w:i/>
        </w:rPr>
        <w:t>practices in the public services (2</w:t>
      </w:r>
      <w:r w:rsidRPr="00A4016E">
        <w:rPr>
          <w:rFonts w:cstheme="minorHAnsi"/>
          <w:i/>
          <w:vertAlign w:val="superscript"/>
        </w:rPr>
        <w:t>nd</w:t>
      </w:r>
      <w:r w:rsidRPr="00A4016E">
        <w:rPr>
          <w:rFonts w:cstheme="minorHAnsi"/>
          <w:i/>
        </w:rPr>
        <w:t xml:space="preserve"> ed.)</w:t>
      </w:r>
      <w:r w:rsidRPr="00A4016E">
        <w:rPr>
          <w:rFonts w:cstheme="minorHAnsi"/>
        </w:rPr>
        <w:t xml:space="preserve"> (chapters 2 and 3, pp 9-36). Routledge.</w:t>
      </w:r>
    </w:p>
    <w:tbl>
      <w:tblPr>
        <w:tblW w:w="0" w:type="auto"/>
        <w:tblInd w:w="18" w:type="dxa"/>
        <w:tblLook w:val="04A0" w:firstRow="1" w:lastRow="0" w:firstColumn="1" w:lastColumn="0" w:noHBand="0" w:noVBand="1"/>
      </w:tblPr>
      <w:tblGrid>
        <w:gridCol w:w="6970"/>
        <w:gridCol w:w="2372"/>
      </w:tblGrid>
      <w:tr w:rsidR="002E647C" w:rsidRPr="006B45CD" w14:paraId="0DFB6798" w14:textId="77777777" w:rsidTr="00894E38">
        <w:trPr>
          <w:cantSplit/>
          <w:tblHeader/>
        </w:trPr>
        <w:tc>
          <w:tcPr>
            <w:tcW w:w="6970" w:type="dxa"/>
            <w:shd w:val="clear" w:color="auto" w:fill="C00000"/>
          </w:tcPr>
          <w:p w14:paraId="4193F91F" w14:textId="77777777" w:rsidR="002E647C" w:rsidRPr="00A4016E" w:rsidRDefault="002E647C" w:rsidP="002E647C">
            <w:pPr>
              <w:numPr>
                <w:ilvl w:val="0"/>
                <w:numId w:val="21"/>
              </w:numPr>
              <w:spacing w:before="20" w:after="20" w:line="276" w:lineRule="auto"/>
              <w:rPr>
                <w:rFonts w:ascii="Times New Roman" w:hAnsi="Times New Roman"/>
                <w:snapToGrid w:val="0"/>
                <w:color w:val="FFFFFF"/>
                <w:sz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Pr>
                <w:rFonts w:ascii="Times New Roman" w:eastAsia="Times New Roman" w:hAnsi="Times New Roman" w:cs="Times New Roman"/>
                <w:b/>
                <w:snapToGrid w:val="0"/>
                <w:color w:val="FFFFFF"/>
                <w:sz w:val="24"/>
                <w:szCs w:val="24"/>
              </w:rPr>
              <w:t xml:space="preserve">: </w:t>
            </w:r>
            <w:r w:rsidRPr="00A4016E">
              <w:rPr>
                <w:rFonts w:ascii="Times New Roman" w:hAnsi="Times New Roman"/>
                <w:b/>
                <w:snapToGrid w:val="0"/>
                <w:color w:val="FFFFFF"/>
                <w:sz w:val="24"/>
              </w:rPr>
              <w:t>The Power of Advocacy: American Society Doing Big Things</w:t>
            </w:r>
          </w:p>
        </w:tc>
        <w:tc>
          <w:tcPr>
            <w:tcW w:w="2372" w:type="dxa"/>
            <w:shd w:val="clear" w:color="auto" w:fill="C00000"/>
          </w:tcPr>
          <w:p w14:paraId="64C8FF6A" w14:textId="77777777" w:rsidR="002E647C" w:rsidRPr="006B45CD" w:rsidRDefault="002E647C" w:rsidP="00C21F24">
            <w:pPr>
              <w:keepNext/>
              <w:spacing w:before="20" w:after="20"/>
              <w:jc w:val="right"/>
              <w:rPr>
                <w:rFonts w:ascii="Times New Roman" w:eastAsia="Times New Roman" w:hAnsi="Times New Roman" w:cs="Times New Roman"/>
                <w:b/>
                <w:color w:val="FFFFFF"/>
              </w:rPr>
            </w:pPr>
          </w:p>
        </w:tc>
      </w:tr>
    </w:tbl>
    <w:p w14:paraId="00C1DCC8" w14:textId="77777777" w:rsidR="002E647C" w:rsidRDefault="002E647C" w:rsidP="002E647C">
      <w:pPr>
        <w:ind w:firstLine="720"/>
        <w:rPr>
          <w:b/>
          <w:u w:val="single"/>
        </w:rPr>
      </w:pPr>
    </w:p>
    <w:p w14:paraId="283F9EBA" w14:textId="77777777" w:rsidR="002E647C" w:rsidRPr="00EC74FB" w:rsidRDefault="002E647C" w:rsidP="002E647C">
      <w:pPr>
        <w:ind w:firstLine="720"/>
        <w:rPr>
          <w:b/>
          <w:u w:val="single"/>
        </w:rPr>
      </w:pPr>
      <w:r w:rsidRPr="00EC74FB">
        <w:rPr>
          <w:b/>
          <w:u w:val="single"/>
        </w:rPr>
        <w:t>Topics</w:t>
      </w:r>
      <w:r>
        <w:rPr>
          <w:b/>
          <w:u w:val="single"/>
        </w:rPr>
        <w:t xml:space="preserve"> Encompass</w:t>
      </w:r>
      <w:r w:rsidRPr="00EC74FB">
        <w:rPr>
          <w:b/>
          <w:u w:val="single"/>
        </w:rPr>
        <w:t>:</w:t>
      </w:r>
    </w:p>
    <w:p w14:paraId="2BB916A5" w14:textId="77777777" w:rsidR="002E647C" w:rsidRPr="00A4016E" w:rsidRDefault="002E647C" w:rsidP="002E647C">
      <w:pPr>
        <w:pStyle w:val="ListParagraph"/>
        <w:numPr>
          <w:ilvl w:val="0"/>
          <w:numId w:val="28"/>
        </w:numPr>
        <w:spacing w:after="200" w:line="276" w:lineRule="auto"/>
      </w:pPr>
      <w:r w:rsidRPr="00A4016E">
        <w:t>American society—of which government is only one part—is nimble in reforming certain often-extremely controversial issues to increase the security of and provide opportunity to people and communities.</w:t>
      </w:r>
    </w:p>
    <w:p w14:paraId="76A68B72" w14:textId="77777777" w:rsidR="002E647C" w:rsidRPr="00A4016E" w:rsidRDefault="002E647C" w:rsidP="002E647C">
      <w:pPr>
        <w:pStyle w:val="ListParagraph"/>
        <w:numPr>
          <w:ilvl w:val="0"/>
          <w:numId w:val="28"/>
        </w:numPr>
        <w:spacing w:after="200" w:line="276" w:lineRule="auto"/>
      </w:pPr>
      <w:r w:rsidRPr="00A4016E">
        <w:t xml:space="preserve">This class will explore a number of these successful efforts, most of which were led and advanced by different sectors of society working complementarily over time and accomplished </w:t>
      </w:r>
      <w:r w:rsidRPr="00A4016E">
        <w:lastRenderedPageBreak/>
        <w:t>through an interplay of activism, corporate efforts, government regulation, public education, and media coverage.</w:t>
      </w:r>
    </w:p>
    <w:p w14:paraId="6E409241" w14:textId="77777777" w:rsidR="002E647C" w:rsidRPr="00A4016E" w:rsidRDefault="002E647C" w:rsidP="002E647C">
      <w:pPr>
        <w:pStyle w:val="ListParagraph"/>
        <w:numPr>
          <w:ilvl w:val="0"/>
          <w:numId w:val="28"/>
        </w:numPr>
        <w:spacing w:after="200" w:line="276" w:lineRule="auto"/>
      </w:pPr>
      <w:r w:rsidRPr="00A4016E">
        <w:t>Case studies will include civil rights, lowering the smoking rate, increasing car safety, reducing drunk driving, marriage equality, legalized medical marijuana, the creation of the Violence Against Women acts, the creation of the PTSD diagnosis, and/or the recent evolution of criminal justice policy.</w:t>
      </w:r>
    </w:p>
    <w:p w14:paraId="3E37B72F" w14:textId="77777777" w:rsidR="002E647C" w:rsidRPr="00A4016E" w:rsidRDefault="002E647C" w:rsidP="002E647C">
      <w:pPr>
        <w:pStyle w:val="ListParagraph"/>
        <w:numPr>
          <w:ilvl w:val="0"/>
          <w:numId w:val="28"/>
        </w:numPr>
        <w:spacing w:after="200" w:line="276" w:lineRule="auto"/>
      </w:pPr>
      <w:r w:rsidRPr="00A4016E">
        <w:t>Assess the “new” issues that our society is focusing upon today, which could include, according to current events, climate change, reducing childhood obesity, gun control, and/or the availability of nutritious foods.</w:t>
      </w:r>
    </w:p>
    <w:p w14:paraId="7A7B4B61" w14:textId="77777777" w:rsidR="002E647C" w:rsidRDefault="002E647C" w:rsidP="002E647C">
      <w:pPr>
        <w:pStyle w:val="ListParagraph"/>
        <w:ind w:left="1440"/>
      </w:pPr>
    </w:p>
    <w:p w14:paraId="6707C91D" w14:textId="77777777" w:rsidR="002E647C" w:rsidRPr="00EC74FB" w:rsidRDefault="002E647C" w:rsidP="002E647C">
      <w:pPr>
        <w:ind w:firstLine="720"/>
        <w:rPr>
          <w:b/>
          <w:u w:val="single"/>
        </w:rPr>
      </w:pPr>
      <w:r>
        <w:rPr>
          <w:b/>
          <w:u w:val="single"/>
        </w:rPr>
        <w:t xml:space="preserve">Required </w:t>
      </w:r>
      <w:r w:rsidRPr="00EC74FB">
        <w:rPr>
          <w:b/>
          <w:u w:val="single"/>
        </w:rPr>
        <w:t>Readings:</w:t>
      </w:r>
    </w:p>
    <w:p w14:paraId="30BB478F" w14:textId="77777777" w:rsidR="002E647C" w:rsidRPr="00157580" w:rsidRDefault="002E647C" w:rsidP="002E647C">
      <w:pPr>
        <w:ind w:left="720"/>
      </w:pPr>
      <w:r w:rsidRPr="00157580">
        <w:t xml:space="preserve">Bird, M. (2016) Social justice advocacy in the belly of the beast. </w:t>
      </w:r>
      <w:r w:rsidRPr="00235255">
        <w:rPr>
          <w:i/>
        </w:rPr>
        <w:t>Journal of Women and Social Work</w:t>
      </w:r>
      <w:r w:rsidRPr="00157580">
        <w:t>.</w:t>
      </w:r>
      <w:r>
        <w:t xml:space="preserve">31 (2), </w:t>
      </w:r>
      <w:r w:rsidRPr="008C3DFC">
        <w:t>257-262</w:t>
      </w:r>
      <w:r>
        <w:t>.</w:t>
      </w:r>
    </w:p>
    <w:p w14:paraId="1BB5139D" w14:textId="77777777" w:rsidR="002E647C" w:rsidRPr="00B82BF6" w:rsidRDefault="002E647C" w:rsidP="002E647C">
      <w:pPr>
        <w:ind w:left="720"/>
        <w:rPr>
          <w:b/>
        </w:rPr>
      </w:pPr>
      <w:r w:rsidRPr="00B82BF6">
        <w:rPr>
          <w:b/>
          <w:i/>
        </w:rPr>
        <w:t xml:space="preserve">Third assignment – lobbying memo – is due, along with a mini-presentation in class today (and last day of class if more time needed). </w:t>
      </w:r>
    </w:p>
    <w:tbl>
      <w:tblPr>
        <w:tblW w:w="0" w:type="auto"/>
        <w:tblInd w:w="18" w:type="dxa"/>
        <w:tblLook w:val="04A0" w:firstRow="1" w:lastRow="0" w:firstColumn="1" w:lastColumn="0" w:noHBand="0" w:noVBand="1"/>
      </w:tblPr>
      <w:tblGrid>
        <w:gridCol w:w="6964"/>
        <w:gridCol w:w="2378"/>
      </w:tblGrid>
      <w:tr w:rsidR="002E647C" w:rsidRPr="006B45CD" w14:paraId="7029DBC6" w14:textId="77777777" w:rsidTr="00C21F24">
        <w:trPr>
          <w:cantSplit/>
          <w:tblHeader/>
        </w:trPr>
        <w:tc>
          <w:tcPr>
            <w:tcW w:w="7110" w:type="dxa"/>
            <w:shd w:val="clear" w:color="auto" w:fill="C00000"/>
          </w:tcPr>
          <w:p w14:paraId="0CBE3FA3" w14:textId="77777777" w:rsidR="002E647C" w:rsidRPr="00F23F49" w:rsidRDefault="002E647C" w:rsidP="00C21F24">
            <w:pPr>
              <w:keepNext/>
              <w:spacing w:before="20" w:after="20"/>
              <w:ind w:left="1242" w:hanging="1242"/>
              <w:rPr>
                <w:rFonts w:ascii="Times New Roman" w:eastAsia="Times New Roman" w:hAnsi="Times New Roman" w:cs="Times New Roman"/>
                <w:b/>
                <w:color w:val="FFFFFF"/>
                <w:sz w:val="24"/>
                <w:szCs w:val="24"/>
              </w:rPr>
            </w:pPr>
            <w:r>
              <w:rPr>
                <w:rFonts w:ascii="Arial" w:hAnsi="Arial" w:cs="Arial"/>
                <w:b/>
                <w:bCs/>
                <w:color w:val="262626"/>
                <w:sz w:val="32"/>
                <w:szCs w:val="32"/>
              </w:rPr>
              <w:br w:type="page"/>
            </w: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Special Topics</w:t>
            </w:r>
          </w:p>
        </w:tc>
        <w:tc>
          <w:tcPr>
            <w:tcW w:w="2430" w:type="dxa"/>
            <w:shd w:val="clear" w:color="auto" w:fill="C00000"/>
          </w:tcPr>
          <w:p w14:paraId="799BFC45" w14:textId="77777777" w:rsidR="002E647C" w:rsidRPr="006B45CD" w:rsidRDefault="002E647C" w:rsidP="00C21F24">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14:paraId="10E12CC0" w14:textId="77777777" w:rsidR="002E647C" w:rsidRDefault="002E647C" w:rsidP="002E647C">
      <w:pPr>
        <w:pStyle w:val="NoSpacing"/>
        <w:spacing w:line="276" w:lineRule="auto"/>
        <w:rPr>
          <w:sz w:val="18"/>
          <w:szCs w:val="18"/>
        </w:rPr>
      </w:pPr>
      <w:r>
        <w:rPr>
          <w:sz w:val="18"/>
          <w:szCs w:val="18"/>
        </w:rPr>
        <w:tab/>
      </w:r>
    </w:p>
    <w:p w14:paraId="297E71EE" w14:textId="77777777" w:rsidR="002E647C" w:rsidRPr="003B2521" w:rsidRDefault="002E647C" w:rsidP="002E647C">
      <w:pPr>
        <w:pStyle w:val="NoSpacing"/>
        <w:spacing w:line="276" w:lineRule="auto"/>
        <w:rPr>
          <w:b/>
          <w:u w:val="single"/>
        </w:rPr>
      </w:pPr>
      <w:r w:rsidRPr="003B2521">
        <w:rPr>
          <w:b/>
          <w:u w:val="single"/>
        </w:rPr>
        <w:t>Topics</w:t>
      </w:r>
      <w:r>
        <w:rPr>
          <w:b/>
          <w:u w:val="single"/>
        </w:rPr>
        <w:t xml:space="preserve"> Encompass</w:t>
      </w:r>
      <w:r w:rsidRPr="003B2521">
        <w:rPr>
          <w:b/>
          <w:u w:val="single"/>
        </w:rPr>
        <w:t>:</w:t>
      </w:r>
    </w:p>
    <w:p w14:paraId="72E5896E" w14:textId="77777777" w:rsidR="002E647C" w:rsidRDefault="002E647C" w:rsidP="002E647C">
      <w:pPr>
        <w:pStyle w:val="ListParagraph"/>
        <w:numPr>
          <w:ilvl w:val="0"/>
          <w:numId w:val="20"/>
        </w:numPr>
        <w:spacing w:after="200" w:line="276" w:lineRule="auto"/>
      </w:pPr>
      <w:r>
        <w:t xml:space="preserve">American society – of which government is only one part – is nimble in reforming certain often-extremely controversial issues in order to increase the security of and provide opportunity to people and communities.  </w:t>
      </w:r>
    </w:p>
    <w:p w14:paraId="6AD63639" w14:textId="77777777" w:rsidR="002E647C" w:rsidRDefault="002E647C" w:rsidP="002E647C">
      <w:pPr>
        <w:pStyle w:val="ListParagraph"/>
        <w:numPr>
          <w:ilvl w:val="0"/>
          <w:numId w:val="20"/>
        </w:numPr>
        <w:spacing w:after="200" w:line="276" w:lineRule="auto"/>
      </w:pPr>
      <w:r>
        <w:t xml:space="preserve">This class will explore a number of these issues, focusing on the topics currently dominating the current events locally, statewide, or nationally. </w:t>
      </w:r>
    </w:p>
    <w:p w14:paraId="36EB0CE3" w14:textId="77777777" w:rsidR="002E647C" w:rsidRDefault="002E647C" w:rsidP="002E647C">
      <w:pPr>
        <w:pStyle w:val="ListParagraph"/>
        <w:numPr>
          <w:ilvl w:val="0"/>
          <w:numId w:val="20"/>
        </w:numPr>
        <w:spacing w:after="200" w:line="276" w:lineRule="auto"/>
      </w:pPr>
      <w:r>
        <w:t>Materials and case studies used will reflect current events and could include civil rights; issues impacting gender; immigration policy; marriage equality; cultural issues such as recreational marijuana; PTSD; and/or the recent evolution of criminal justice policy.</w:t>
      </w:r>
    </w:p>
    <w:p w14:paraId="725A34C2" w14:textId="77777777" w:rsidR="002E647C" w:rsidRDefault="002E647C" w:rsidP="002E647C">
      <w:pPr>
        <w:pStyle w:val="NoSpacing"/>
        <w:spacing w:line="276" w:lineRule="auto"/>
        <w:rPr>
          <w:b/>
          <w:u w:val="single"/>
        </w:rPr>
      </w:pPr>
      <w:r>
        <w:rPr>
          <w:sz w:val="18"/>
          <w:szCs w:val="18"/>
        </w:rPr>
        <w:tab/>
      </w:r>
      <w:r w:rsidRPr="003B2521">
        <w:rPr>
          <w:b/>
          <w:u w:val="single"/>
        </w:rPr>
        <w:t>Re</w:t>
      </w:r>
      <w:r>
        <w:rPr>
          <w:b/>
          <w:u w:val="single"/>
        </w:rPr>
        <w:t>quired Re</w:t>
      </w:r>
      <w:r w:rsidRPr="003B2521">
        <w:rPr>
          <w:b/>
          <w:u w:val="single"/>
        </w:rPr>
        <w:t>adings</w:t>
      </w:r>
      <w:r>
        <w:rPr>
          <w:b/>
          <w:u w:val="single"/>
        </w:rPr>
        <w:t>/Audio file</w:t>
      </w:r>
      <w:r w:rsidRPr="003B2521">
        <w:rPr>
          <w:b/>
          <w:u w:val="single"/>
        </w:rPr>
        <w:t>:</w:t>
      </w:r>
    </w:p>
    <w:p w14:paraId="09A6DD95" w14:textId="77777777" w:rsidR="002E647C" w:rsidRDefault="002E647C" w:rsidP="002E647C">
      <w:pPr>
        <w:pStyle w:val="NoSpacing"/>
        <w:spacing w:line="276" w:lineRule="auto"/>
        <w:rPr>
          <w:b/>
          <w:u w:val="single"/>
        </w:rPr>
      </w:pPr>
    </w:p>
    <w:p w14:paraId="618F4E35" w14:textId="77777777" w:rsidR="002E647C" w:rsidRPr="00103D0A" w:rsidRDefault="002E647C" w:rsidP="002E647C">
      <w:pPr>
        <w:pStyle w:val="NoSpacing"/>
        <w:spacing w:line="276" w:lineRule="auto"/>
        <w:ind w:left="720"/>
        <w:rPr>
          <w:u w:val="single"/>
        </w:rPr>
      </w:pPr>
      <w:r w:rsidRPr="00103D0A">
        <w:rPr>
          <w:u w:val="single"/>
        </w:rPr>
        <w:t>An oral history interview with Suzanne Dworak-Peck (2012). Open access link here: http://digitallibrary.usc.edu/cdm/singleitem/collection/p15799coll34/id/451/rec/43</w:t>
      </w:r>
    </w:p>
    <w:p w14:paraId="7F52AFAD" w14:textId="55F5F878" w:rsidR="004B52C7" w:rsidRPr="004B52C7" w:rsidRDefault="004B52C7" w:rsidP="002E647C">
      <w:pPr>
        <w:pStyle w:val="ListParagraph"/>
        <w:rPr>
          <w:rFonts w:ascii="Times New Roman" w:hAnsi="Times New Roman" w:cs="Times New Roman"/>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3A4E6989" w14:textId="77777777" w:rsidR="00233608" w:rsidRDefault="006F4B9D" w:rsidP="00233608">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290CCC97" w14:textId="3B1BF337" w:rsidR="007C630E" w:rsidRPr="00233608" w:rsidRDefault="00B130CA" w:rsidP="00233608">
      <w:pPr>
        <w:pStyle w:val="ListParagraph"/>
        <w:numPr>
          <w:ilvl w:val="0"/>
          <w:numId w:val="7"/>
        </w:numPr>
        <w:rPr>
          <w:rFonts w:ascii="Times New Roman" w:hAnsi="Times New Roman" w:cs="Times New Roman"/>
        </w:rPr>
      </w:pPr>
      <w:r w:rsidRPr="00233608">
        <w:rPr>
          <w:rFonts w:ascii="Times New Roman" w:hAnsi="Times New Roman" w:cs="Times New Roman"/>
        </w:rPr>
        <w:t>Statement on Academic Conduct and Support Systems</w:t>
      </w:r>
      <w:r w:rsidR="007C630E" w:rsidRPr="00233608">
        <w:rPr>
          <w:rFonts w:ascii="Times New Roman" w:hAnsi="Times New Roman" w:cs="Times New Roman"/>
          <w:b/>
          <w:color w:val="991B1E"/>
        </w:rPr>
        <w:br w:type="page"/>
      </w:r>
    </w:p>
    <w:p w14:paraId="689E24EB" w14:textId="2092CD9B" w:rsidR="004424B2" w:rsidRDefault="004424B2" w:rsidP="004424B2">
      <w:pPr>
        <w:rPr>
          <w:rFonts w:ascii="Times New Roman" w:hAnsi="Times New Roman" w:cs="Times New Roman"/>
          <w:b/>
          <w:color w:val="991B1E"/>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p w14:paraId="3AE67C70" w14:textId="5397CEDD" w:rsidR="008E4107" w:rsidRDefault="005520A5" w:rsidP="005520A5">
      <w:pPr>
        <w:jc w:val="center"/>
        <w:rPr>
          <w:rFonts w:ascii="Times New Roman" w:hAnsi="Times New Roman" w:cs="Times New Roman"/>
          <w:b/>
          <w:color w:val="991B1E"/>
        </w:rPr>
      </w:pPr>
      <w:r>
        <w:rPr>
          <w:rFonts w:ascii="Times New Roman" w:hAnsi="Times New Roman" w:cs="Times New Roman"/>
          <w:b/>
          <w:noProof/>
          <w:color w:val="991B1E"/>
        </w:rPr>
        <w:drawing>
          <wp:inline distT="0" distB="0" distL="0" distR="0" wp14:anchorId="531BC5D8" wp14:editId="648E1D2E">
            <wp:extent cx="5269832" cy="3523356"/>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etancy 1 fall 2021 .jpg"/>
                    <pic:cNvPicPr/>
                  </pic:nvPicPr>
                  <pic:blipFill>
                    <a:blip r:embed="rId25">
                      <a:extLst>
                        <a:ext uri="{28A0092B-C50C-407E-A947-70E740481C1C}">
                          <a14:useLocalDpi xmlns:a14="http://schemas.microsoft.com/office/drawing/2010/main" val="0"/>
                        </a:ext>
                      </a:extLst>
                    </a:blip>
                    <a:stretch>
                      <a:fillRect/>
                    </a:stretch>
                  </pic:blipFill>
                  <pic:spPr>
                    <a:xfrm>
                      <a:off x="0" y="0"/>
                      <a:ext cx="5291844" cy="3538073"/>
                    </a:xfrm>
                    <a:prstGeom prst="rect">
                      <a:avLst/>
                    </a:prstGeom>
                  </pic:spPr>
                </pic:pic>
              </a:graphicData>
            </a:graphic>
          </wp:inline>
        </w:drawing>
      </w:r>
    </w:p>
    <w:p w14:paraId="01E7E907" w14:textId="6262F7D7" w:rsidR="005520A5" w:rsidRDefault="005520A5" w:rsidP="005520A5">
      <w:pPr>
        <w:jc w:val="center"/>
        <w:rPr>
          <w:rFonts w:ascii="Times New Roman" w:hAnsi="Times New Roman" w:cs="Times New Roman"/>
          <w:b/>
          <w:color w:val="991B1E"/>
        </w:rPr>
      </w:pPr>
      <w:r>
        <w:rPr>
          <w:rFonts w:ascii="Times New Roman" w:hAnsi="Times New Roman" w:cs="Times New Roman"/>
          <w:b/>
          <w:noProof/>
          <w:color w:val="991B1E"/>
        </w:rPr>
        <w:drawing>
          <wp:inline distT="0" distB="0" distL="0" distR="0" wp14:anchorId="5159A299" wp14:editId="7D5519BB">
            <wp:extent cx="5245768" cy="37986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etency 3 .jpg"/>
                    <pic:cNvPicPr/>
                  </pic:nvPicPr>
                  <pic:blipFill>
                    <a:blip r:embed="rId26">
                      <a:extLst>
                        <a:ext uri="{28A0092B-C50C-407E-A947-70E740481C1C}">
                          <a14:useLocalDpi xmlns:a14="http://schemas.microsoft.com/office/drawing/2010/main" val="0"/>
                        </a:ext>
                      </a:extLst>
                    </a:blip>
                    <a:stretch>
                      <a:fillRect/>
                    </a:stretch>
                  </pic:blipFill>
                  <pic:spPr>
                    <a:xfrm>
                      <a:off x="0" y="0"/>
                      <a:ext cx="5274700" cy="3819648"/>
                    </a:xfrm>
                    <a:prstGeom prst="rect">
                      <a:avLst/>
                    </a:prstGeom>
                  </pic:spPr>
                </pic:pic>
              </a:graphicData>
            </a:graphic>
          </wp:inline>
        </w:drawing>
      </w:r>
    </w:p>
    <w:p w14:paraId="09CACC33" w14:textId="13F9617F" w:rsidR="005520A5" w:rsidRDefault="005520A5" w:rsidP="004424B2">
      <w:pPr>
        <w:rPr>
          <w:rFonts w:ascii="Times New Roman" w:hAnsi="Times New Roman" w:cs="Times New Roman"/>
          <w:b/>
          <w:color w:val="991B1E"/>
        </w:rPr>
      </w:pPr>
      <w:r>
        <w:rPr>
          <w:rFonts w:ascii="Times New Roman" w:hAnsi="Times New Roman" w:cs="Times New Roman"/>
          <w:b/>
          <w:noProof/>
          <w:color w:val="991B1E"/>
        </w:rPr>
        <w:lastRenderedPageBreak/>
        <w:drawing>
          <wp:inline distT="0" distB="0" distL="0" distR="0" wp14:anchorId="1C648086" wp14:editId="2A3AA5E5">
            <wp:extent cx="5943600" cy="40722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etency 5a .jpg"/>
                    <pic:cNvPicPr/>
                  </pic:nvPicPr>
                  <pic:blipFill>
                    <a:blip r:embed="rId27">
                      <a:extLst>
                        <a:ext uri="{28A0092B-C50C-407E-A947-70E740481C1C}">
                          <a14:useLocalDpi xmlns:a14="http://schemas.microsoft.com/office/drawing/2010/main" val="0"/>
                        </a:ext>
                      </a:extLst>
                    </a:blip>
                    <a:stretch>
                      <a:fillRect/>
                    </a:stretch>
                  </pic:blipFill>
                  <pic:spPr>
                    <a:xfrm>
                      <a:off x="0" y="0"/>
                      <a:ext cx="5943600" cy="4072255"/>
                    </a:xfrm>
                    <a:prstGeom prst="rect">
                      <a:avLst/>
                    </a:prstGeom>
                  </pic:spPr>
                </pic:pic>
              </a:graphicData>
            </a:graphic>
          </wp:inline>
        </w:drawing>
      </w:r>
    </w:p>
    <w:p w14:paraId="611E0220" w14:textId="74B679D4" w:rsidR="005520A5" w:rsidRDefault="005520A5" w:rsidP="004424B2">
      <w:pPr>
        <w:rPr>
          <w:rFonts w:ascii="Times New Roman" w:hAnsi="Times New Roman" w:cs="Times New Roman"/>
          <w:b/>
          <w:color w:val="991B1E"/>
        </w:rPr>
      </w:pPr>
      <w:r>
        <w:rPr>
          <w:rFonts w:ascii="Times New Roman" w:hAnsi="Times New Roman" w:cs="Times New Roman"/>
          <w:b/>
          <w:noProof/>
          <w:color w:val="991B1E"/>
        </w:rPr>
        <w:drawing>
          <wp:inline distT="0" distB="0" distL="0" distR="0" wp14:anchorId="626A9717" wp14:editId="07DB41E5">
            <wp:extent cx="5911516" cy="36414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petency 5b.jpg"/>
                    <pic:cNvPicPr/>
                  </pic:nvPicPr>
                  <pic:blipFill>
                    <a:blip r:embed="rId28">
                      <a:extLst>
                        <a:ext uri="{28A0092B-C50C-407E-A947-70E740481C1C}">
                          <a14:useLocalDpi xmlns:a14="http://schemas.microsoft.com/office/drawing/2010/main" val="0"/>
                        </a:ext>
                      </a:extLst>
                    </a:blip>
                    <a:stretch>
                      <a:fillRect/>
                    </a:stretch>
                  </pic:blipFill>
                  <pic:spPr>
                    <a:xfrm>
                      <a:off x="0" y="0"/>
                      <a:ext cx="5918187" cy="3645541"/>
                    </a:xfrm>
                    <a:prstGeom prst="rect">
                      <a:avLst/>
                    </a:prstGeom>
                  </pic:spPr>
                </pic:pic>
              </a:graphicData>
            </a:graphic>
          </wp:inline>
        </w:drawing>
      </w:r>
    </w:p>
    <w:p w14:paraId="176CC1B7" w14:textId="3C2E4E84" w:rsidR="005520A5" w:rsidRDefault="005520A5" w:rsidP="004424B2">
      <w:pPr>
        <w:rPr>
          <w:rFonts w:ascii="Times New Roman" w:hAnsi="Times New Roman" w:cs="Times New Roman"/>
          <w:b/>
          <w:color w:val="991B1E"/>
        </w:rPr>
      </w:pPr>
    </w:p>
    <w:p w14:paraId="5786EAFA" w14:textId="6420DA8F" w:rsidR="005520A5" w:rsidRDefault="005520A5" w:rsidP="004424B2">
      <w:pPr>
        <w:rPr>
          <w:rFonts w:ascii="Times New Roman" w:hAnsi="Times New Roman" w:cs="Times New Roman"/>
          <w:b/>
          <w:color w:val="991B1E"/>
        </w:rPr>
      </w:pPr>
      <w:r>
        <w:rPr>
          <w:rFonts w:ascii="Times New Roman" w:hAnsi="Times New Roman" w:cs="Times New Roman"/>
          <w:b/>
          <w:noProof/>
          <w:color w:val="991B1E"/>
        </w:rPr>
        <w:lastRenderedPageBreak/>
        <w:drawing>
          <wp:inline distT="0" distB="0" distL="0" distR="0" wp14:anchorId="17701E05" wp14:editId="57DB2927">
            <wp:extent cx="5844540" cy="36423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etency 5c.jpg"/>
                    <pic:cNvPicPr/>
                  </pic:nvPicPr>
                  <pic:blipFill>
                    <a:blip r:embed="rId29">
                      <a:extLst>
                        <a:ext uri="{28A0092B-C50C-407E-A947-70E740481C1C}">
                          <a14:useLocalDpi xmlns:a14="http://schemas.microsoft.com/office/drawing/2010/main" val="0"/>
                        </a:ext>
                      </a:extLst>
                    </a:blip>
                    <a:stretch>
                      <a:fillRect/>
                    </a:stretch>
                  </pic:blipFill>
                  <pic:spPr>
                    <a:xfrm>
                      <a:off x="0" y="0"/>
                      <a:ext cx="5844540" cy="3642360"/>
                    </a:xfrm>
                    <a:prstGeom prst="rect">
                      <a:avLst/>
                    </a:prstGeom>
                  </pic:spPr>
                </pic:pic>
              </a:graphicData>
            </a:graphic>
          </wp:inline>
        </w:drawing>
      </w:r>
    </w:p>
    <w:p w14:paraId="344CBB16" w14:textId="7F312FB2" w:rsidR="008E4107" w:rsidRDefault="005520A5" w:rsidP="004424B2">
      <w:pPr>
        <w:rPr>
          <w:rFonts w:ascii="Times New Roman" w:hAnsi="Times New Roman" w:cs="Times New Roman"/>
          <w:b/>
          <w:color w:val="991B1E"/>
        </w:rPr>
      </w:pPr>
      <w:r>
        <w:rPr>
          <w:rFonts w:ascii="Times New Roman" w:hAnsi="Times New Roman" w:cs="Times New Roman"/>
          <w:b/>
          <w:noProof/>
          <w:color w:val="991B1E"/>
        </w:rPr>
        <w:drawing>
          <wp:inline distT="0" distB="0" distL="0" distR="0" wp14:anchorId="2EB5E6F2" wp14:editId="59867EC9">
            <wp:extent cx="5799221" cy="355770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etency 8.jpg"/>
                    <pic:cNvPicPr/>
                  </pic:nvPicPr>
                  <pic:blipFill>
                    <a:blip r:embed="rId30">
                      <a:extLst>
                        <a:ext uri="{28A0092B-C50C-407E-A947-70E740481C1C}">
                          <a14:useLocalDpi xmlns:a14="http://schemas.microsoft.com/office/drawing/2010/main" val="0"/>
                        </a:ext>
                      </a:extLst>
                    </a:blip>
                    <a:stretch>
                      <a:fillRect/>
                    </a:stretch>
                  </pic:blipFill>
                  <pic:spPr>
                    <a:xfrm>
                      <a:off x="0" y="0"/>
                      <a:ext cx="5812181" cy="3565657"/>
                    </a:xfrm>
                    <a:prstGeom prst="rect">
                      <a:avLst/>
                    </a:prstGeom>
                  </pic:spPr>
                </pic:pic>
              </a:graphicData>
            </a:graphic>
          </wp:inline>
        </w:drawing>
      </w:r>
    </w:p>
    <w:p w14:paraId="073EBE6C" w14:textId="77777777" w:rsidR="008E4107" w:rsidRDefault="008E4107" w:rsidP="004424B2">
      <w:pPr>
        <w:rPr>
          <w:rFonts w:ascii="Times New Roman" w:hAnsi="Times New Roman" w:cs="Times New Roman"/>
        </w:rPr>
      </w:pPr>
    </w:p>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267AE51F" w14:textId="77777777" w:rsidR="00F81B37" w:rsidRPr="00545F10" w:rsidRDefault="00F81B37" w:rsidP="00F81B37">
      <w:pPr>
        <w:rPr>
          <w:rFonts w:ascii="Times New Roman" w:hAnsi="Times New Roman" w:cs="Times New Roman"/>
          <w:b/>
          <w:i/>
        </w:rPr>
      </w:pPr>
      <w:r w:rsidRPr="00545F10">
        <w:rPr>
          <w:rFonts w:ascii="Times New Roman" w:hAnsi="Times New Roman" w:cs="Times New Roman"/>
          <w:b/>
          <w:i/>
        </w:rPr>
        <w:t>Recommended Guidebook for APA Style Formatting</w:t>
      </w:r>
    </w:p>
    <w:p w14:paraId="1DCCF5AF" w14:textId="7EF19849" w:rsidR="00662C63" w:rsidRDefault="00662C63" w:rsidP="00662C63">
      <w:pPr>
        <w:ind w:left="720" w:hanging="720"/>
        <w:rPr>
          <w:rFonts w:ascii="Times New Roman" w:hAnsi="Times New Roman" w:cs="Times New Roman"/>
          <w:b/>
          <w:i/>
        </w:rPr>
      </w:pPr>
      <w:r>
        <w:rPr>
          <w:rFonts w:ascii="Helvetica" w:hAnsi="Helvetica" w:cs="Helvetica"/>
          <w:i/>
          <w:iCs/>
          <w:color w:val="3A3A3A"/>
          <w:sz w:val="23"/>
          <w:szCs w:val="23"/>
          <w:shd w:val="clear" w:color="auto" w:fill="FFFFFF"/>
        </w:rPr>
        <w:t>Publication manual of the American Psychological Association: The official guide to APA style.</w:t>
      </w:r>
      <w:r>
        <w:rPr>
          <w:rFonts w:ascii="Helvetica" w:hAnsi="Helvetica" w:cs="Helvetica"/>
          <w:color w:val="3A3A3A"/>
          <w:sz w:val="23"/>
          <w:szCs w:val="23"/>
          <w:shd w:val="clear" w:color="auto" w:fill="FFFFFF"/>
        </w:rPr>
        <w:t> (7</w:t>
      </w:r>
      <w:r w:rsidRPr="00662C63">
        <w:rPr>
          <w:rFonts w:ascii="Helvetica" w:hAnsi="Helvetica" w:cs="Helvetica"/>
          <w:color w:val="3A3A3A"/>
          <w:sz w:val="23"/>
          <w:szCs w:val="23"/>
          <w:shd w:val="clear" w:color="auto" w:fill="FFFFFF"/>
          <w:vertAlign w:val="superscript"/>
        </w:rPr>
        <w:t>th</w:t>
      </w:r>
      <w:r>
        <w:rPr>
          <w:rFonts w:ascii="Helvetica" w:hAnsi="Helvetica" w:cs="Helvetica"/>
          <w:color w:val="3A3A3A"/>
          <w:sz w:val="23"/>
          <w:szCs w:val="23"/>
          <w:shd w:val="clear" w:color="auto" w:fill="FFFFFF"/>
        </w:rPr>
        <w:t xml:space="preserve"> ed.). (2020). American Psychological Association. </w:t>
      </w:r>
    </w:p>
    <w:p w14:paraId="523430E3" w14:textId="25996D57" w:rsidR="00F81B37" w:rsidRPr="00545F10" w:rsidRDefault="00894E38" w:rsidP="00F81B37">
      <w:pPr>
        <w:rPr>
          <w:rFonts w:ascii="Times New Roman" w:hAnsi="Times New Roman" w:cs="Times New Roman"/>
          <w:b/>
          <w:i/>
        </w:rPr>
      </w:pPr>
      <w:r>
        <w:rPr>
          <w:rFonts w:ascii="Times New Roman" w:hAnsi="Times New Roman" w:cs="Times New Roman"/>
          <w:b/>
          <w:i/>
        </w:rPr>
        <w:t xml:space="preserve">Additional </w:t>
      </w:r>
      <w:r w:rsidR="00F81B37" w:rsidRPr="00545F10">
        <w:rPr>
          <w:rFonts w:ascii="Times New Roman" w:hAnsi="Times New Roman" w:cs="Times New Roman"/>
          <w:b/>
          <w:i/>
        </w:rPr>
        <w:t xml:space="preserve">Recommended Websites </w:t>
      </w:r>
      <w:r w:rsidR="00DD6364">
        <w:rPr>
          <w:rFonts w:ascii="Times New Roman" w:hAnsi="Times New Roman" w:cs="Times New Roman"/>
          <w:b/>
          <w:i/>
        </w:rPr>
        <w:t>and their published descriptors</w:t>
      </w:r>
      <w:r>
        <w:rPr>
          <w:rFonts w:ascii="Times New Roman" w:hAnsi="Times New Roman" w:cs="Times New Roman"/>
          <w:b/>
          <w:i/>
        </w:rPr>
        <w:t>:</w:t>
      </w:r>
    </w:p>
    <w:p w14:paraId="7E945A42" w14:textId="2264156A" w:rsidR="00917467" w:rsidRDefault="0068150E" w:rsidP="00DD6364">
      <w:pPr>
        <w:rPr>
          <w:rFonts w:ascii="Calibri" w:eastAsia="Calibri" w:hAnsi="Calibri" w:cs="Times New Roman"/>
        </w:rPr>
      </w:pPr>
      <w:hyperlink r:id="rId31" w:tgtFrame="_blank" w:history="1">
        <w:r w:rsidR="00DD6364" w:rsidRPr="00DD6364">
          <w:rPr>
            <w:rFonts w:ascii="Calibri" w:eastAsia="Calibri" w:hAnsi="Calibri" w:cs="Times New Roman"/>
            <w:b/>
            <w:bCs/>
            <w:color w:val="0563C1"/>
            <w:u w:val="single"/>
          </w:rPr>
          <w:t>Economic Policy Institute</w:t>
        </w:r>
      </w:hyperlink>
      <w:r w:rsidR="00DD6364" w:rsidRPr="00DD6364">
        <w:rPr>
          <w:rFonts w:ascii="Calibri" w:eastAsia="Calibri" w:hAnsi="Calibri" w:cs="Times New Roman"/>
        </w:rPr>
        <w:br/>
        <w:t>The Economic Policy Institute (EPI), a non-profit, non-partisan think tank, was created in 1986 to broaden discussions about economic policy to include the needs of low- and middle-income workers.</w:t>
      </w:r>
      <w:r w:rsidR="00DD6364" w:rsidRPr="00DD6364">
        <w:rPr>
          <w:rFonts w:ascii="Calibri" w:eastAsia="Calibri" w:hAnsi="Calibri" w:cs="Times New Roman"/>
        </w:rPr>
        <w:br/>
      </w:r>
      <w:hyperlink r:id="rId32" w:tgtFrame="_blank" w:history="1">
        <w:r w:rsidR="00DD6364" w:rsidRPr="00DD6364">
          <w:rPr>
            <w:rFonts w:ascii="Calibri" w:eastAsia="Calibri" w:hAnsi="Calibri" w:cs="Times New Roman"/>
            <w:b/>
            <w:bCs/>
            <w:color w:val="0563C1"/>
            <w:u w:val="single"/>
          </w:rPr>
          <w:br/>
          <w:t>​Center on Budget and Policy Priorities</w:t>
        </w:r>
      </w:hyperlink>
      <w:r w:rsidR="00DD6364" w:rsidRPr="00DD6364">
        <w:rPr>
          <w:rFonts w:ascii="Calibri" w:eastAsia="Calibri" w:hAnsi="Calibri" w:cs="Times New Roman"/>
        </w:rPr>
        <w:br/>
        <w:t>The Center conducts research and analysis to help shape public debates over proposed budget and tax policies and to help ensure that policymakers consider the needs of low-income families and individuals in these debates. The Center also develops policy options to alleviate poverty.</w:t>
      </w:r>
    </w:p>
    <w:p w14:paraId="25464FEA" w14:textId="55131EF0" w:rsidR="00917467" w:rsidRPr="00894E38" w:rsidRDefault="00894E38" w:rsidP="00DD6364">
      <w:pPr>
        <w:rPr>
          <w:rStyle w:val="Hyperlink"/>
          <w:rFonts w:ascii="Calibri" w:eastAsia="Calibri" w:hAnsi="Calibri" w:cs="Times New Roman"/>
        </w:rPr>
      </w:pPr>
      <w:r>
        <w:rPr>
          <w:rFonts w:ascii="Calibri" w:eastAsia="Calibri" w:hAnsi="Calibri" w:cs="Times New Roman"/>
          <w:b/>
        </w:rPr>
        <w:fldChar w:fldCharType="begin"/>
      </w:r>
      <w:r>
        <w:rPr>
          <w:rFonts w:ascii="Calibri" w:eastAsia="Calibri" w:hAnsi="Calibri" w:cs="Times New Roman"/>
          <w:b/>
        </w:rPr>
        <w:instrText xml:space="preserve"> HYPERLINK "https://www.govtrack.us/" </w:instrText>
      </w:r>
      <w:r>
        <w:rPr>
          <w:rFonts w:ascii="Calibri" w:eastAsia="Calibri" w:hAnsi="Calibri" w:cs="Times New Roman"/>
          <w:b/>
        </w:rPr>
        <w:fldChar w:fldCharType="separate"/>
      </w:r>
      <w:proofErr w:type="spellStart"/>
      <w:r w:rsidR="00917467" w:rsidRPr="00894E38">
        <w:rPr>
          <w:rStyle w:val="Hyperlink"/>
          <w:rFonts w:ascii="Calibri" w:eastAsia="Calibri" w:hAnsi="Calibri" w:cs="Times New Roman"/>
          <w:b/>
        </w:rPr>
        <w:t>Govtrack</w:t>
      </w:r>
      <w:proofErr w:type="spellEnd"/>
    </w:p>
    <w:p w14:paraId="302AB881" w14:textId="4E68A65E" w:rsidR="00DD6364" w:rsidRPr="00DD6364" w:rsidRDefault="00894E38" w:rsidP="00DD6364">
      <w:pPr>
        <w:rPr>
          <w:rFonts w:ascii="Calibri" w:eastAsia="Calibri" w:hAnsi="Calibri" w:cs="Times New Roman"/>
        </w:rPr>
      </w:pPr>
      <w:r>
        <w:rPr>
          <w:rFonts w:ascii="Calibri" w:eastAsia="Calibri" w:hAnsi="Calibri" w:cs="Times New Roman"/>
          <w:b/>
        </w:rPr>
        <w:fldChar w:fldCharType="end"/>
      </w:r>
      <w:r>
        <w:rPr>
          <w:rFonts w:ascii="Calibri" w:eastAsia="Calibri" w:hAnsi="Calibri" w:cs="Times New Roman"/>
        </w:rPr>
        <w:t>P</w:t>
      </w:r>
      <w:r w:rsidRPr="00894E38">
        <w:rPr>
          <w:rFonts w:ascii="Calibri" w:eastAsia="Calibri" w:hAnsi="Calibri" w:cs="Times New Roman"/>
        </w:rPr>
        <w:t>ublish</w:t>
      </w:r>
      <w:r>
        <w:rPr>
          <w:rFonts w:ascii="Calibri" w:eastAsia="Calibri" w:hAnsi="Calibri" w:cs="Times New Roman"/>
        </w:rPr>
        <w:t>ing</w:t>
      </w:r>
      <w:r w:rsidRPr="00894E38">
        <w:rPr>
          <w:rFonts w:ascii="Calibri" w:eastAsia="Calibri" w:hAnsi="Calibri" w:cs="Times New Roman"/>
        </w:rPr>
        <w:t xml:space="preserve"> the status of federal leg</w:t>
      </w:r>
      <w:r>
        <w:rPr>
          <w:rFonts w:ascii="Calibri" w:eastAsia="Calibri" w:hAnsi="Calibri" w:cs="Times New Roman"/>
        </w:rPr>
        <w:t>islation, information about</w:t>
      </w:r>
      <w:r w:rsidRPr="00894E38">
        <w:rPr>
          <w:rFonts w:ascii="Calibri" w:eastAsia="Calibri" w:hAnsi="Calibri" w:cs="Times New Roman"/>
        </w:rPr>
        <w:t xml:space="preserve"> representative</w:t>
      </w:r>
      <w:r>
        <w:rPr>
          <w:rFonts w:ascii="Calibri" w:eastAsia="Calibri" w:hAnsi="Calibri" w:cs="Times New Roman"/>
        </w:rPr>
        <w:t>s</w:t>
      </w:r>
      <w:r w:rsidRPr="00894E38">
        <w:rPr>
          <w:rFonts w:ascii="Calibri" w:eastAsia="Calibri" w:hAnsi="Calibri" w:cs="Times New Roman"/>
        </w:rPr>
        <w:t xml:space="preserve"> and senators in Congress including voting records, and or</w:t>
      </w:r>
      <w:r>
        <w:rPr>
          <w:rFonts w:ascii="Calibri" w:eastAsia="Calibri" w:hAnsi="Calibri" w:cs="Times New Roman"/>
        </w:rPr>
        <w:t xml:space="preserve">iginal research on legislation, and </w:t>
      </w:r>
      <w:r w:rsidRPr="00894E38">
        <w:rPr>
          <w:rFonts w:ascii="Calibri" w:eastAsia="Calibri" w:hAnsi="Calibri" w:cs="Times New Roman"/>
        </w:rPr>
        <w:t>one of the oldest government tr</w:t>
      </w:r>
      <w:r>
        <w:rPr>
          <w:rFonts w:ascii="Calibri" w:eastAsia="Calibri" w:hAnsi="Calibri" w:cs="Times New Roman"/>
        </w:rPr>
        <w:t xml:space="preserve">ansparency websites in the world. </w:t>
      </w:r>
      <w:r w:rsidR="00DD6364" w:rsidRPr="00DD6364">
        <w:rPr>
          <w:rFonts w:ascii="Calibri" w:eastAsia="Calibri" w:hAnsi="Calibri" w:cs="Times New Roman"/>
        </w:rPr>
        <w:br/>
      </w:r>
      <w:hyperlink r:id="rId33" w:tgtFrame="_blank" w:history="1">
        <w:r w:rsidR="00DD6364" w:rsidRPr="00DD6364">
          <w:rPr>
            <w:rFonts w:ascii="Calibri" w:eastAsia="Calibri" w:hAnsi="Calibri" w:cs="Times New Roman"/>
            <w:b/>
            <w:bCs/>
            <w:color w:val="0563C1"/>
            <w:u w:val="single"/>
          </w:rPr>
          <w:br/>
          <w:t>Center for Economic and Policy Research</w:t>
        </w:r>
      </w:hyperlink>
      <w:r w:rsidR="00DD6364" w:rsidRPr="00DD6364">
        <w:rPr>
          <w:rFonts w:ascii="Calibri" w:eastAsia="Calibri" w:hAnsi="Calibri" w:cs="Times New Roman"/>
        </w:rPr>
        <w:br/>
        <w:t>The Center for Economic and Policy Research (CEPR) was established in 1999 to promote democratic debate on the most important economic and social issues that affect people’s lives. In order for citizens to effectively exercise their voices in a democracy, they should be informed about the problems and choices that they face.</w:t>
      </w:r>
    </w:p>
    <w:p w14:paraId="71F4F5FE" w14:textId="77777777" w:rsidR="00DD6364" w:rsidRPr="00DD6364" w:rsidRDefault="00DD6364" w:rsidP="00DD6364">
      <w:pPr>
        <w:rPr>
          <w:rFonts w:ascii="Calibri" w:eastAsia="Calibri" w:hAnsi="Calibri" w:cs="Times New Roman"/>
          <w:b/>
          <w:color w:val="0070C0"/>
          <w:u w:val="single"/>
        </w:rPr>
      </w:pPr>
      <w:r w:rsidRPr="00DD6364">
        <w:rPr>
          <w:rFonts w:ascii="Calibri" w:eastAsia="Calibri" w:hAnsi="Calibri" w:cs="Times New Roman"/>
          <w:b/>
          <w:color w:val="0070C0"/>
          <w:u w:val="single"/>
        </w:rPr>
        <w:t>Council of Social Work Education - CSWE</w:t>
      </w:r>
    </w:p>
    <w:p w14:paraId="5D8DF5E7" w14:textId="4E3071F1" w:rsidR="00DD6364" w:rsidRPr="00DD6364" w:rsidRDefault="00DD6364" w:rsidP="00DD6364">
      <w:pPr>
        <w:rPr>
          <w:rFonts w:ascii="Calibri" w:eastAsia="Calibri" w:hAnsi="Calibri" w:cs="Times New Roman"/>
        </w:rPr>
      </w:pPr>
      <w:r w:rsidRPr="00DD6364">
        <w:rPr>
          <w:rFonts w:ascii="Calibri" w:eastAsia="Calibri" w:hAnsi="Calibri" w:cs="Times New Roman"/>
        </w:rPr>
        <w:t xml:space="preserve">Founded in 1952, the Council on Social Work Education (CSWE) is the national association representing social work education in the United States. </w:t>
      </w:r>
    </w:p>
    <w:p w14:paraId="2A1F76A9" w14:textId="77777777" w:rsidR="00DD6364" w:rsidRPr="00DD6364" w:rsidRDefault="00DD6364" w:rsidP="00DD6364">
      <w:pPr>
        <w:rPr>
          <w:rFonts w:ascii="Calibri" w:eastAsia="Calibri" w:hAnsi="Calibri" w:cs="Times New Roman"/>
          <w:b/>
          <w:color w:val="0070C0"/>
          <w:u w:val="single"/>
        </w:rPr>
      </w:pPr>
      <w:r w:rsidRPr="00DD6364">
        <w:rPr>
          <w:rFonts w:ascii="Calibri" w:eastAsia="Calibri" w:hAnsi="Calibri" w:cs="Times New Roman"/>
          <w:b/>
          <w:color w:val="0070C0"/>
          <w:u w:val="single"/>
        </w:rPr>
        <w:t>National Association of Social Workers - NASW –and state unit levels</w:t>
      </w:r>
    </w:p>
    <w:p w14:paraId="1D4464C0" w14:textId="40A99F24" w:rsidR="00DD6364" w:rsidRPr="00DD6364" w:rsidRDefault="00DD6364" w:rsidP="00DD6364">
      <w:pPr>
        <w:rPr>
          <w:rFonts w:ascii="Calibri" w:eastAsia="Calibri" w:hAnsi="Calibri" w:cs="Times New Roman"/>
          <w:b/>
          <w:color w:val="2E74B5"/>
        </w:rPr>
      </w:pPr>
      <w:r w:rsidRPr="00DD6364">
        <w:rPr>
          <w:rFonts w:ascii="Calibri" w:eastAsia="Calibri" w:hAnsi="Calibri" w:cs="Times New Roman"/>
        </w:rPr>
        <w:t xml:space="preserve">Founded in 1955, the National Association of Social Workers (NASW) is the largest membership organization of professional social workers in the world. </w:t>
      </w:r>
    </w:p>
    <w:p w14:paraId="63D9E73A" w14:textId="77777777" w:rsidR="00DD6364" w:rsidRPr="00DD6364" w:rsidRDefault="00DD6364" w:rsidP="00DD6364">
      <w:pPr>
        <w:rPr>
          <w:rFonts w:ascii="Calibri" w:eastAsia="Calibri" w:hAnsi="Calibri" w:cs="Times New Roman"/>
          <w:b/>
          <w:color w:val="2E74B5"/>
          <w:u w:val="single"/>
        </w:rPr>
      </w:pPr>
      <w:r w:rsidRPr="00DD6364">
        <w:rPr>
          <w:rFonts w:ascii="Calibri" w:eastAsia="Calibri" w:hAnsi="Calibri" w:cs="Times New Roman"/>
          <w:b/>
          <w:color w:val="2E74B5"/>
          <w:u w:val="single"/>
        </w:rPr>
        <w:t>International Federation of Social Workers –IFSW</w:t>
      </w:r>
    </w:p>
    <w:p w14:paraId="7CFD43B3" w14:textId="77777777" w:rsidR="00DD6364" w:rsidRDefault="00DD6364" w:rsidP="00DD6364">
      <w:pPr>
        <w:rPr>
          <w:rFonts w:ascii="Calibri" w:eastAsia="Calibri" w:hAnsi="Calibri" w:cs="Times New Roman"/>
        </w:rPr>
      </w:pPr>
      <w:r w:rsidRPr="00DD6364">
        <w:rPr>
          <w:rFonts w:ascii="Calibri" w:eastAsia="Calibri" w:hAnsi="Calibri" w:cs="Times New Roman"/>
        </w:rPr>
        <w:t>The International Federation of Social Workers (IFSW) is the global body for the profession. The Federation and its national members strive for social justice, human rights and inclusive, sustainable social development through the promotion of social work best practice and engagement in international cooperation.</w:t>
      </w:r>
    </w:p>
    <w:p w14:paraId="07734088" w14:textId="540272DC" w:rsidR="00DD6364" w:rsidRPr="00DD6364" w:rsidRDefault="0068150E" w:rsidP="00DD6364">
      <w:pPr>
        <w:rPr>
          <w:rFonts w:ascii="Calibri" w:eastAsia="Calibri" w:hAnsi="Calibri" w:cs="Times New Roman"/>
        </w:rPr>
      </w:pPr>
      <w:hyperlink r:id="rId34" w:tgtFrame="_blank" w:history="1">
        <w:r w:rsidR="00DD6364" w:rsidRPr="00DD6364">
          <w:rPr>
            <w:rFonts w:ascii="Calibri" w:eastAsia="Calibri" w:hAnsi="Calibri" w:cs="Times New Roman"/>
            <w:b/>
            <w:bCs/>
            <w:color w:val="0563C1"/>
            <w:u w:val="single"/>
          </w:rPr>
          <w:br/>
          <w:t>Social Progress Index</w:t>
        </w:r>
      </w:hyperlink>
      <w:r w:rsidR="00DD6364" w:rsidRPr="00DD6364">
        <w:rPr>
          <w:rFonts w:ascii="Calibri" w:eastAsia="Calibri" w:hAnsi="Calibri" w:cs="Times New Roman"/>
        </w:rPr>
        <w:br/>
        <w:t xml:space="preserve">The Social Progress Imperative, through regional partnerships, promotes the formation of local </w:t>
      </w:r>
      <w:r w:rsidR="00DD6364" w:rsidRPr="00DD6364">
        <w:rPr>
          <w:rFonts w:ascii="Calibri" w:eastAsia="Calibri" w:hAnsi="Calibri" w:cs="Times New Roman"/>
        </w:rPr>
        <w:lastRenderedPageBreak/>
        <w:t>networks which apply the Social Progress Index within countries to guide social investments.</w:t>
      </w:r>
      <w:r w:rsidR="00DD6364" w:rsidRPr="00DD6364">
        <w:rPr>
          <w:rFonts w:ascii="Calibri" w:eastAsia="Calibri" w:hAnsi="Calibri" w:cs="Times New Roman"/>
        </w:rPr>
        <w:br/>
      </w:r>
      <w:hyperlink r:id="rId35" w:tgtFrame="_blank" w:history="1">
        <w:r w:rsidR="00DD6364" w:rsidRPr="00DD6364">
          <w:rPr>
            <w:rFonts w:ascii="Calibri" w:eastAsia="Calibri" w:hAnsi="Calibri" w:cs="Times New Roman"/>
            <w:b/>
            <w:bCs/>
            <w:color w:val="0563C1"/>
            <w:u w:val="single"/>
          </w:rPr>
          <w:br/>
          <w:t>Institute for Research on Poverty</w:t>
        </w:r>
      </w:hyperlink>
      <w:r w:rsidR="00DD6364" w:rsidRPr="00DD6364">
        <w:rPr>
          <w:rFonts w:ascii="Calibri" w:eastAsia="Calibri" w:hAnsi="Calibri" w:cs="Times New Roman"/>
        </w:rPr>
        <w:br/>
        <w:t>IRP is a center for interdisciplinary research into the causes and consequences of poverty and social inequality in the United States. It is nonprofit and nonpartisan and based at the University of Wisconsin-Madison. It is one of three National Poverty Research Centers sponsored by the U.S. Department of Health and Human Services.</w:t>
      </w:r>
      <w:r w:rsidR="00DD6364" w:rsidRPr="00DD6364">
        <w:rPr>
          <w:rFonts w:ascii="Calibri" w:eastAsia="Calibri" w:hAnsi="Calibri" w:cs="Times New Roman"/>
        </w:rPr>
        <w:br/>
      </w:r>
      <w:hyperlink r:id="rId36" w:tgtFrame="_blank" w:history="1">
        <w:r w:rsidR="00DD6364" w:rsidRPr="00DD6364">
          <w:rPr>
            <w:rFonts w:ascii="Calibri" w:eastAsia="Calibri" w:hAnsi="Calibri" w:cs="Times New Roman"/>
            <w:b/>
            <w:bCs/>
            <w:color w:val="0563C1"/>
            <w:u w:val="single"/>
          </w:rPr>
          <w:br/>
          <w:t>Center for American Progress</w:t>
        </w:r>
      </w:hyperlink>
      <w:r w:rsidR="00DD6364" w:rsidRPr="00DD6364">
        <w:rPr>
          <w:rFonts w:ascii="Calibri" w:eastAsia="Calibri" w:hAnsi="Calibri" w:cs="Times New Roman"/>
        </w:rPr>
        <w:br/>
        <w:t>The Center for American Progress is an independent nonpartisan educational institute dedicated to improving the lives of Americans through progressive ideas and action.</w:t>
      </w:r>
      <w:r w:rsidR="00DD6364" w:rsidRPr="00DD6364">
        <w:rPr>
          <w:rFonts w:ascii="Calibri" w:eastAsia="Calibri" w:hAnsi="Calibri" w:cs="Times New Roman"/>
        </w:rPr>
        <w:br/>
      </w:r>
      <w:hyperlink r:id="rId37" w:tgtFrame="_blank" w:history="1">
        <w:r w:rsidR="00DD6364" w:rsidRPr="00DD6364">
          <w:rPr>
            <w:rFonts w:ascii="Calibri" w:eastAsia="Calibri" w:hAnsi="Calibri" w:cs="Times New Roman"/>
            <w:b/>
            <w:bCs/>
            <w:color w:val="0563C1"/>
            <w:u w:val="single"/>
          </w:rPr>
          <w:br/>
          <w:t>Brookings Institution</w:t>
        </w:r>
      </w:hyperlink>
      <w:r w:rsidR="00DD6364" w:rsidRPr="00DD6364">
        <w:rPr>
          <w:rFonts w:ascii="Calibri" w:eastAsia="Calibri" w:hAnsi="Calibri" w:cs="Times New Roman"/>
        </w:rPr>
        <w:br/>
        <w:t>The Brookings Institution is a nonprofit public policy organization based in Washington, DC whose mission is to conduct high-quality, independent research and, based on that research, to provide innovative, practical policy recommendations.</w:t>
      </w:r>
      <w:r w:rsidR="00DD6364" w:rsidRPr="00DD6364">
        <w:rPr>
          <w:rFonts w:ascii="Calibri" w:eastAsia="Calibri" w:hAnsi="Calibri" w:cs="Times New Roman"/>
        </w:rPr>
        <w:br/>
      </w:r>
      <w:hyperlink r:id="rId38" w:tgtFrame="_blank" w:history="1">
        <w:r w:rsidR="00DD6364" w:rsidRPr="00DD6364">
          <w:rPr>
            <w:rFonts w:ascii="Calibri" w:eastAsia="Calibri" w:hAnsi="Calibri" w:cs="Times New Roman"/>
            <w:b/>
            <w:bCs/>
            <w:color w:val="0563C1"/>
            <w:u w:val="single"/>
          </w:rPr>
          <w:br/>
          <w:t>MDRC</w:t>
        </w:r>
      </w:hyperlink>
      <w:r w:rsidR="00DD6364" w:rsidRPr="00DD6364">
        <w:rPr>
          <w:rFonts w:ascii="Calibri" w:eastAsia="Calibri" w:hAnsi="Calibri" w:cs="Times New Roman"/>
        </w:rPr>
        <w:t xml:space="preserve"> (originally Manpower Demonstration Research Corporation) </w:t>
      </w:r>
    </w:p>
    <w:p w14:paraId="6B7F4C56" w14:textId="4C5EF885" w:rsidR="00DD6364" w:rsidRPr="00DD6364" w:rsidRDefault="00DD6364" w:rsidP="00DD6364">
      <w:pPr>
        <w:rPr>
          <w:rFonts w:ascii="Calibri" w:eastAsia="Calibri" w:hAnsi="Calibri" w:cs="Times New Roman"/>
        </w:rPr>
      </w:pPr>
      <w:r w:rsidRPr="00DD6364">
        <w:rPr>
          <w:rFonts w:ascii="Calibri" w:eastAsia="Calibri" w:hAnsi="Calibri" w:cs="Times New Roman"/>
        </w:rPr>
        <w:t>Created in 1974 by the Ford Foundation and a group of federal agencies, MDRC is a nonprofit, nonpartisan education and social policy research organization dedicated to learning what works to improve programs and policies that affect the poor.</w:t>
      </w:r>
      <w:r w:rsidRPr="00DD6364">
        <w:rPr>
          <w:rFonts w:ascii="Calibri" w:eastAsia="Calibri" w:hAnsi="Calibri" w:cs="Times New Roman"/>
        </w:rPr>
        <w:br/>
      </w:r>
      <w:hyperlink r:id="rId39" w:tgtFrame="_blank" w:history="1">
        <w:r w:rsidRPr="00DD6364">
          <w:rPr>
            <w:rFonts w:ascii="Calibri" w:eastAsia="Calibri" w:hAnsi="Calibri" w:cs="Times New Roman"/>
            <w:b/>
            <w:bCs/>
            <w:color w:val="0563C1"/>
            <w:u w:val="single"/>
          </w:rPr>
          <w:br/>
          <w:t>Urban Institute</w:t>
        </w:r>
      </w:hyperlink>
      <w:r w:rsidRPr="00DD6364">
        <w:rPr>
          <w:rFonts w:ascii="Calibri" w:eastAsia="Calibri" w:hAnsi="Calibri" w:cs="Times New Roman"/>
        </w:rPr>
        <w:br/>
        <w:t>In the mid-1960s, President Johnson created a blue-ribbon commission of civic leaders who recommended chartering a center to provide independent nonpartisan analysis of the problems facing America’s cities and their residents. In 1968, the Urban Institute became that center.</w:t>
      </w:r>
      <w:r w:rsidRPr="00DD6364">
        <w:rPr>
          <w:rFonts w:ascii="Calibri" w:eastAsia="Calibri" w:hAnsi="Calibri" w:cs="Times New Roman"/>
        </w:rPr>
        <w:br/>
      </w:r>
      <w:hyperlink r:id="rId40" w:tgtFrame="_blank" w:history="1">
        <w:r w:rsidRPr="00DD6364">
          <w:rPr>
            <w:rFonts w:ascii="Calibri" w:eastAsia="Calibri" w:hAnsi="Calibri" w:cs="Times New Roman"/>
            <w:b/>
            <w:bCs/>
            <w:color w:val="0563C1"/>
            <w:u w:val="single"/>
          </w:rPr>
          <w:br/>
          <w:t>Institute for Policy Research</w:t>
        </w:r>
      </w:hyperlink>
      <w:r w:rsidRPr="00DD6364">
        <w:rPr>
          <w:rFonts w:ascii="Calibri" w:eastAsia="Calibri" w:hAnsi="Calibri" w:cs="Times New Roman"/>
        </w:rPr>
        <w:br/>
        <w:t>The Institute for Policy Research (IPR) is an interdisciplinary public policy research institute founded in 1968 at Northwestern University whose mission is to stimulate and support social science research on significant public policy issues and to disseminate the findings widely — to students, scholars, policymakers, and the public at large.</w:t>
      </w:r>
      <w:r w:rsidRPr="00DD6364">
        <w:rPr>
          <w:rFonts w:ascii="Calibri" w:eastAsia="Calibri" w:hAnsi="Calibri" w:cs="Times New Roman"/>
        </w:rPr>
        <w:br/>
      </w:r>
      <w:hyperlink r:id="rId41" w:tgtFrame="_blank" w:history="1">
        <w:r w:rsidRPr="00DD6364">
          <w:rPr>
            <w:rFonts w:ascii="Calibri" w:eastAsia="Calibri" w:hAnsi="Calibri" w:cs="Times New Roman"/>
            <w:b/>
            <w:bCs/>
            <w:color w:val="0563C1"/>
            <w:u w:val="single"/>
          </w:rPr>
          <w:br/>
          <w:t>National Poverty Center</w:t>
        </w:r>
      </w:hyperlink>
      <w:r w:rsidRPr="00DD6364">
        <w:rPr>
          <w:rFonts w:ascii="Calibri" w:eastAsia="Calibri" w:hAnsi="Calibri" w:cs="Times New Roman"/>
        </w:rPr>
        <w:br/>
        <w:t>The National Poverty Center (NPC) at the Gerald R. Ford School of Public Policy at the University of Michigan was established in the fall of 2002 as a university-based, nonpartisan research center.  The center conducts and promotes multidisciplinary, policy-relevant research, mentors and trains emerging scholars, and informs public discourse on the causes and consequences of poverty.</w:t>
      </w:r>
      <w:r w:rsidRPr="00DD6364">
        <w:rPr>
          <w:rFonts w:ascii="Calibri" w:eastAsia="Calibri" w:hAnsi="Calibri" w:cs="Times New Roman"/>
        </w:rPr>
        <w:br/>
      </w:r>
      <w:hyperlink r:id="rId42" w:tgtFrame="_blank" w:history="1">
        <w:r w:rsidRPr="00DD6364">
          <w:rPr>
            <w:rFonts w:ascii="Calibri" w:eastAsia="Calibri" w:hAnsi="Calibri" w:cs="Times New Roman"/>
            <w:b/>
            <w:bCs/>
            <w:color w:val="0563C1"/>
            <w:u w:val="single"/>
          </w:rPr>
          <w:br/>
          <w:t>Center for the Study of Social Policy</w:t>
        </w:r>
      </w:hyperlink>
      <w:r w:rsidRPr="00DD6364">
        <w:rPr>
          <w:rFonts w:ascii="Calibri" w:eastAsia="Calibri" w:hAnsi="Calibri" w:cs="Times New Roman"/>
        </w:rPr>
        <w:br/>
        <w:t>Established in 1979 as part of the University of Chicago, CSSP’s primary goal was to influence public policy affecting poor children and families, the elderly and the disabled. Founder Tom Joe, blind from early childhood, was a staunch advocate for federal and state policies that leveled the playing field for the disenfranchised and addressed the injustices that affected people’s lives.</w:t>
      </w:r>
      <w:r w:rsidRPr="00DD6364">
        <w:rPr>
          <w:rFonts w:ascii="Calibri" w:eastAsia="Calibri" w:hAnsi="Calibri" w:cs="Times New Roman"/>
        </w:rPr>
        <w:br/>
      </w:r>
      <w:hyperlink r:id="rId43" w:tgtFrame="_blank" w:history="1">
        <w:r w:rsidRPr="00DD6364">
          <w:rPr>
            <w:rFonts w:ascii="Calibri" w:eastAsia="Calibri" w:hAnsi="Calibri" w:cs="Times New Roman"/>
            <w:b/>
            <w:bCs/>
            <w:color w:val="0563C1"/>
            <w:u w:val="single"/>
          </w:rPr>
          <w:br/>
          <w:t>Center for Law and Social Policy</w:t>
        </w:r>
      </w:hyperlink>
      <w:r w:rsidRPr="00DD6364">
        <w:rPr>
          <w:rFonts w:ascii="Calibri" w:eastAsia="Calibri" w:hAnsi="Calibri" w:cs="Times New Roman"/>
        </w:rPr>
        <w:br/>
        <w:t>The Center for Law and Social Policy develops and advocates for federal, state and local policies to strengthen families and create pathways to education and work.</w:t>
      </w:r>
      <w:r w:rsidRPr="00DD6364">
        <w:rPr>
          <w:rFonts w:ascii="Calibri" w:eastAsia="Calibri" w:hAnsi="Calibri" w:cs="Times New Roman"/>
        </w:rPr>
        <w:br/>
      </w:r>
      <w:hyperlink r:id="rId44" w:tgtFrame="_blank" w:history="1">
        <w:r w:rsidRPr="00DD6364">
          <w:rPr>
            <w:rFonts w:ascii="Calibri" w:eastAsia="Calibri" w:hAnsi="Calibri" w:cs="Times New Roman"/>
            <w:b/>
            <w:bCs/>
            <w:color w:val="0563C1"/>
            <w:u w:val="single"/>
          </w:rPr>
          <w:br/>
          <w:t>Stanford Center on Poverty and Inequality</w:t>
        </w:r>
      </w:hyperlink>
      <w:r w:rsidRPr="00DD6364">
        <w:rPr>
          <w:rFonts w:ascii="Calibri" w:eastAsia="Calibri" w:hAnsi="Calibri" w:cs="Times New Roman"/>
        </w:rPr>
        <w:br/>
        <w:t>The Stanford Center on Poverty and Inequality (CPI), one of three National Poverty Centers, is a nonpartisan research center dedicated to monitoring trends in poverty and inequality, explaining what’s driving those trends, and developing science-based policy on poverty and inequality.</w:t>
      </w:r>
      <w:r w:rsidRPr="00DD6364">
        <w:rPr>
          <w:rFonts w:ascii="Calibri" w:eastAsia="Calibri" w:hAnsi="Calibri" w:cs="Times New Roman"/>
        </w:rPr>
        <w:br/>
      </w:r>
      <w:hyperlink r:id="rId45" w:tgtFrame="_blank" w:history="1">
        <w:r w:rsidRPr="00DD6364">
          <w:rPr>
            <w:rFonts w:ascii="Calibri" w:eastAsia="Calibri" w:hAnsi="Calibri" w:cs="Times New Roman"/>
            <w:b/>
            <w:bCs/>
            <w:color w:val="0563C1"/>
            <w:u w:val="single"/>
          </w:rPr>
          <w:br/>
          <w:t>Inequality.org</w:t>
        </w:r>
      </w:hyperlink>
      <w:r w:rsidRPr="00DD6364">
        <w:rPr>
          <w:rFonts w:ascii="Calibri" w:eastAsia="Calibri" w:hAnsi="Calibri" w:cs="Times New Roman"/>
        </w:rPr>
        <w:br/>
        <w:t>Inequality.org is a new portal for data, analysis, and commentary on wealth and income disparity created by the Institute for Policy Studies</w:t>
      </w:r>
      <w:r w:rsidRPr="00DD6364">
        <w:rPr>
          <w:rFonts w:ascii="Calibri" w:eastAsia="Calibri" w:hAnsi="Calibri" w:cs="Times New Roman"/>
        </w:rPr>
        <w:br/>
      </w:r>
      <w:hyperlink r:id="rId46" w:tgtFrame="_blank" w:history="1">
        <w:r w:rsidRPr="00DD6364">
          <w:rPr>
            <w:rFonts w:ascii="Calibri" w:eastAsia="Calibri" w:hAnsi="Calibri" w:cs="Times New Roman"/>
            <w:b/>
            <w:bCs/>
            <w:color w:val="0563C1"/>
            <w:u w:val="single"/>
          </w:rPr>
          <w:br/>
          <w:t>Heritage Foundation</w:t>
        </w:r>
      </w:hyperlink>
      <w:r w:rsidRPr="00DD6364">
        <w:rPr>
          <w:rFonts w:ascii="Calibri" w:eastAsia="Calibri" w:hAnsi="Calibri" w:cs="Times New Roman"/>
        </w:rPr>
        <w:br/>
        <w:t>Founded in 1973, The Heritage Foundation is a research and educational institution—a think tank—whose mission is to formulate and promote conservative public policies based on the principles of free enterprise, limited government, individual freedom, traditional American values, and a strong national defense.</w:t>
      </w:r>
      <w:r w:rsidRPr="00DD6364">
        <w:rPr>
          <w:rFonts w:ascii="Calibri" w:eastAsia="Calibri" w:hAnsi="Calibri" w:cs="Times New Roman"/>
        </w:rPr>
        <w:br/>
      </w:r>
      <w:hyperlink r:id="rId47" w:tgtFrame="_blank" w:history="1">
        <w:r w:rsidRPr="00DD6364">
          <w:rPr>
            <w:rFonts w:ascii="Calibri" w:eastAsia="Calibri" w:hAnsi="Calibri" w:cs="Times New Roman"/>
            <w:b/>
            <w:bCs/>
            <w:color w:val="0563C1"/>
            <w:u w:val="single"/>
          </w:rPr>
          <w:br/>
          <w:t>Cato Institute</w:t>
        </w:r>
      </w:hyperlink>
      <w:r w:rsidRPr="00DD6364">
        <w:rPr>
          <w:rFonts w:ascii="Calibri" w:eastAsia="Calibri" w:hAnsi="Calibri" w:cs="Times New Roman"/>
        </w:rPr>
        <w:br/>
        <w:t>The Cato Institute is a public policy research organization — a think tank — dedicated to the principles of individual liberty, limited government, free markets and peace. Its scholars and analysts conduct independent, nonpartisan research on a wide range of policy issues guided by libertarian principles.</w:t>
      </w:r>
      <w:r w:rsidRPr="00DD6364">
        <w:rPr>
          <w:rFonts w:ascii="Calibri" w:eastAsia="Calibri" w:hAnsi="Calibri" w:cs="Times New Roman"/>
        </w:rPr>
        <w:br/>
      </w:r>
      <w:hyperlink r:id="rId48" w:tgtFrame="_blank" w:history="1">
        <w:r w:rsidRPr="00DD6364">
          <w:rPr>
            <w:rFonts w:ascii="Calibri" w:eastAsia="Calibri" w:hAnsi="Calibri" w:cs="Times New Roman"/>
            <w:b/>
            <w:bCs/>
            <w:color w:val="0563C1"/>
            <w:u w:val="single"/>
          </w:rPr>
          <w:br/>
          <w:t>Joint Center for Political and Economic Studies</w:t>
        </w:r>
      </w:hyperlink>
      <w:r w:rsidRPr="00DD6364">
        <w:rPr>
          <w:rFonts w:ascii="Calibri" w:eastAsia="Calibri" w:hAnsi="Calibri" w:cs="Times New Roman"/>
        </w:rPr>
        <w:br/>
        <w:t>The Joint Center for Political and Economic Studies works to inform and illuminate the nation’s major public policy debates through research, analysis, and information dissemination, with the goal of improving the socioeconomic status of African Americans and other people of color.</w:t>
      </w:r>
      <w:r w:rsidRPr="00DD6364">
        <w:rPr>
          <w:rFonts w:ascii="Calibri" w:eastAsia="Calibri" w:hAnsi="Calibri" w:cs="Times New Roman"/>
        </w:rPr>
        <w:br/>
      </w:r>
      <w:hyperlink r:id="rId49" w:tgtFrame="_blank" w:history="1">
        <w:r w:rsidRPr="00DD6364">
          <w:rPr>
            <w:rFonts w:ascii="Calibri" w:eastAsia="Calibri" w:hAnsi="Calibri" w:cs="Times New Roman"/>
            <w:b/>
            <w:bCs/>
            <w:color w:val="0563C1"/>
            <w:u w:val="single"/>
          </w:rPr>
          <w:br/>
          <w:t>Committee for a Responsible Federal Budget</w:t>
        </w:r>
      </w:hyperlink>
      <w:r w:rsidRPr="00DD6364">
        <w:rPr>
          <w:rFonts w:ascii="Calibri" w:eastAsia="Calibri" w:hAnsi="Calibri" w:cs="Times New Roman"/>
        </w:rPr>
        <w:br/>
        <w:t>The Committee for a Responsible Federal Budget is a bipartisan, non-profit organization committed to educating the public about issues that have significant fiscal policy impact. The Committee is made up of some of the nation’s leading budget experts including many of the past Chairmen and Directors of the Budget Committees, the Congressional Budget Office, the Office of Management and Budget, the Government Accountability Office, and the Federal Reserve Board.</w:t>
      </w:r>
      <w:r w:rsidRPr="00DD6364">
        <w:rPr>
          <w:rFonts w:ascii="Calibri" w:eastAsia="Calibri" w:hAnsi="Calibri" w:cs="Times New Roman"/>
        </w:rPr>
        <w:br/>
      </w:r>
      <w:hyperlink r:id="rId50" w:tgtFrame="_blank" w:history="1">
        <w:r w:rsidRPr="00DD6364">
          <w:rPr>
            <w:rFonts w:ascii="Calibri" w:eastAsia="Calibri" w:hAnsi="Calibri" w:cs="Times New Roman"/>
            <w:b/>
            <w:bCs/>
            <w:color w:val="0563C1"/>
            <w:u w:val="single"/>
          </w:rPr>
          <w:br/>
          <w:t>Campaign for America’s Future</w:t>
        </w:r>
      </w:hyperlink>
      <w:r w:rsidRPr="00DD6364">
        <w:rPr>
          <w:rFonts w:ascii="Calibri" w:eastAsia="Calibri" w:hAnsi="Calibri" w:cs="Times New Roman"/>
        </w:rPr>
        <w:br/>
        <w:t>The Campaign for America’s Future views itself as “the strategy center for the progressive movement.” Their stated goal is to forge the enduring progressive majority needed to realize the America of shared prosperity and equal opportunity that our country was meant to be.</w:t>
      </w:r>
      <w:r w:rsidRPr="00DD6364">
        <w:rPr>
          <w:rFonts w:ascii="Calibri" w:eastAsia="Calibri" w:hAnsi="Calibri" w:cs="Times New Roman"/>
        </w:rPr>
        <w:br/>
      </w:r>
      <w:hyperlink r:id="rId51" w:tgtFrame="_blank" w:history="1">
        <w:r w:rsidRPr="00DD6364">
          <w:rPr>
            <w:rFonts w:ascii="Calibri" w:eastAsia="Calibri" w:hAnsi="Calibri" w:cs="Times New Roman"/>
            <w:b/>
            <w:bCs/>
            <w:color w:val="0563C1"/>
            <w:u w:val="single"/>
          </w:rPr>
          <w:br/>
          <w:t>Institute for New Economic Thinking</w:t>
        </w:r>
      </w:hyperlink>
      <w:r w:rsidRPr="00DD6364">
        <w:rPr>
          <w:rFonts w:ascii="Calibri" w:eastAsia="Calibri" w:hAnsi="Calibri" w:cs="Times New Roman"/>
        </w:rPr>
        <w:br/>
        <w:t xml:space="preserve">The Institute for New Economic Thinking (INET) was created to broaden and accelerate the development </w:t>
      </w:r>
      <w:r w:rsidRPr="00DD6364">
        <w:rPr>
          <w:rFonts w:ascii="Calibri" w:eastAsia="Calibri" w:hAnsi="Calibri" w:cs="Times New Roman"/>
        </w:rPr>
        <w:lastRenderedPageBreak/>
        <w:t>of new economic thinking that can lead to solutions for the great challenges of the 21st century.</w:t>
      </w:r>
      <w:r w:rsidRPr="00DD6364">
        <w:rPr>
          <w:rFonts w:ascii="Calibri" w:eastAsia="Calibri" w:hAnsi="Calibri" w:cs="Times New Roman"/>
        </w:rPr>
        <w:br/>
      </w:r>
      <w:hyperlink r:id="rId52" w:tgtFrame="_blank" w:history="1">
        <w:r w:rsidRPr="00DD6364">
          <w:rPr>
            <w:rFonts w:ascii="Calibri" w:eastAsia="Calibri" w:hAnsi="Calibri" w:cs="Times New Roman"/>
            <w:b/>
            <w:bCs/>
            <w:color w:val="0563C1"/>
            <w:u w:val="single"/>
          </w:rPr>
          <w:br/>
          <w:t>Vera Institute</w:t>
        </w:r>
      </w:hyperlink>
      <w:r w:rsidRPr="00DD6364">
        <w:rPr>
          <w:rFonts w:ascii="Calibri" w:eastAsia="Calibri" w:hAnsi="Calibri" w:cs="Times New Roman"/>
        </w:rPr>
        <w:br/>
        <w:t>The Vera Institute of Justice is an independent, nonpartisan, nonprofit center for justice policy and practice that combines expertise in research, demonstration projects, and technical assistance to help leaders in government and civil society improve the systems people rely on for justice and safety.</w:t>
      </w:r>
      <w:r w:rsidRPr="00DD6364">
        <w:rPr>
          <w:rFonts w:ascii="Calibri" w:eastAsia="Calibri" w:hAnsi="Calibri" w:cs="Times New Roman"/>
        </w:rPr>
        <w:br/>
      </w:r>
      <w:hyperlink r:id="rId53" w:tgtFrame="_blank" w:history="1">
        <w:r w:rsidRPr="00DD6364">
          <w:rPr>
            <w:rFonts w:ascii="Calibri" w:eastAsia="Calibri" w:hAnsi="Calibri" w:cs="Times New Roman"/>
            <w:b/>
            <w:bCs/>
            <w:color w:val="0563C1"/>
            <w:u w:val="single"/>
          </w:rPr>
          <w:br/>
          <w:t>Drug Policy Alliance</w:t>
        </w:r>
      </w:hyperlink>
      <w:r w:rsidRPr="00DD6364">
        <w:rPr>
          <w:rFonts w:ascii="Calibri" w:eastAsia="Calibri" w:hAnsi="Calibri" w:cs="Times New Roman"/>
        </w:rPr>
        <w:br/>
        <w:t>The Drug Policy Alliance (DPA) is the nation’s leading organization promoting alternatives to current drug policy that are grounded in science, compassion, health and human rights.</w:t>
      </w:r>
      <w:r w:rsidRPr="00DD6364">
        <w:rPr>
          <w:rFonts w:ascii="Calibri" w:eastAsia="Calibri" w:hAnsi="Calibri" w:cs="Times New Roman"/>
        </w:rPr>
        <w:br/>
      </w:r>
      <w:hyperlink r:id="rId54" w:tgtFrame="_blank" w:history="1">
        <w:r w:rsidRPr="00DD6364">
          <w:rPr>
            <w:rFonts w:ascii="Calibri" w:eastAsia="Calibri" w:hAnsi="Calibri" w:cs="Times New Roman"/>
            <w:b/>
            <w:bCs/>
            <w:color w:val="0563C1"/>
            <w:u w:val="single"/>
          </w:rPr>
          <w:br/>
          <w:t>The Sentencing Project</w:t>
        </w:r>
      </w:hyperlink>
      <w:r w:rsidRPr="00DD6364">
        <w:rPr>
          <w:rFonts w:ascii="Calibri" w:eastAsia="Calibri" w:hAnsi="Calibri" w:cs="Times New Roman"/>
        </w:rPr>
        <w:br/>
        <w:t>The Sentencing Project was founded in 1986 to provide defense lawyers with sentencing advocacy training and to reduce the reliance on incarceration. Since that time, The Sentencing Project has become a leader in the effort to bring national attention to disturbing trends and inequities in the criminal justice system with a successful formula that includes the publication of groundbreaking research, aggressive media campaigns and strategic advocacy for policy reform.</w:t>
      </w:r>
      <w:r w:rsidRPr="00DD6364">
        <w:rPr>
          <w:rFonts w:ascii="Calibri" w:eastAsia="Calibri" w:hAnsi="Calibri" w:cs="Times New Roman"/>
        </w:rPr>
        <w:br/>
      </w:r>
      <w:hyperlink r:id="rId55" w:tgtFrame="_blank" w:history="1">
        <w:r w:rsidRPr="00DD6364">
          <w:rPr>
            <w:rFonts w:ascii="Calibri" w:eastAsia="Calibri" w:hAnsi="Calibri" w:cs="Times New Roman"/>
            <w:b/>
            <w:bCs/>
            <w:color w:val="0563C1"/>
            <w:u w:val="single"/>
          </w:rPr>
          <w:br/>
          <w:t>Justice Policy Institute</w:t>
        </w:r>
      </w:hyperlink>
      <w:r w:rsidRPr="00DD6364">
        <w:rPr>
          <w:rFonts w:ascii="Calibri" w:eastAsia="Calibri" w:hAnsi="Calibri" w:cs="Times New Roman"/>
        </w:rPr>
        <w:br/>
        <w:t>The Justice Policy Institute is a nonprofit organization that advances policies that promote well-being and justice for all people and communities. Their research and analyses identify effective programs and policies and they disseminate findings to the media, policymakers and advocates.</w:t>
      </w:r>
      <w:r w:rsidRPr="00DD6364">
        <w:rPr>
          <w:rFonts w:ascii="Calibri" w:eastAsia="Calibri" w:hAnsi="Calibri" w:cs="Times New Roman"/>
        </w:rPr>
        <w:br/>
      </w:r>
      <w:hyperlink r:id="rId56" w:tgtFrame="_blank" w:history="1">
        <w:r w:rsidRPr="00DD6364">
          <w:rPr>
            <w:rFonts w:ascii="Calibri" w:eastAsia="Calibri" w:hAnsi="Calibri" w:cs="Times New Roman"/>
            <w:b/>
            <w:bCs/>
            <w:color w:val="0563C1"/>
            <w:u w:val="single"/>
          </w:rPr>
          <w:br/>
          <w:t>Brennan Center for Justice</w:t>
        </w:r>
      </w:hyperlink>
      <w:r w:rsidRPr="00DD6364">
        <w:rPr>
          <w:rFonts w:ascii="Calibri" w:eastAsia="Calibri" w:hAnsi="Calibri" w:cs="Times New Roman"/>
        </w:rPr>
        <w:br/>
        <w:t>The Brennan Center for Justice at New York University School of Law is a nonpartisan law and policy institute that seeks to improve U.S. systems of democracy and justice. They work to hold political institutions and laws accountable to the twin American ideals of democracy and equal justice for all.</w:t>
      </w:r>
    </w:p>
    <w:p w14:paraId="0DA08285" w14:textId="431ACEF9" w:rsidR="00DD6364" w:rsidRPr="00DD6364" w:rsidRDefault="0068150E" w:rsidP="00DD6364">
      <w:pPr>
        <w:rPr>
          <w:rFonts w:ascii="Calibri" w:eastAsia="Calibri" w:hAnsi="Calibri" w:cs="Times New Roman"/>
          <w:b/>
          <w:color w:val="0070C0"/>
          <w:u w:val="single"/>
        </w:rPr>
      </w:pPr>
      <w:hyperlink r:id="rId57" w:history="1">
        <w:r w:rsidR="00DD6364" w:rsidRPr="00894E38">
          <w:rPr>
            <w:rStyle w:val="Hyperlink"/>
            <w:rFonts w:ascii="Calibri" w:eastAsia="Calibri" w:hAnsi="Calibri" w:cs="Times New Roman"/>
            <w:b/>
          </w:rPr>
          <w:t>Southern Poverty Law Center</w:t>
        </w:r>
      </w:hyperlink>
    </w:p>
    <w:p w14:paraId="61BBE4C8" w14:textId="77777777" w:rsidR="00DD6364" w:rsidRPr="00DD6364" w:rsidRDefault="00DD6364" w:rsidP="00DD6364">
      <w:pPr>
        <w:rPr>
          <w:rFonts w:ascii="Calibri" w:eastAsia="Calibri" w:hAnsi="Calibri" w:cs="Times New Roman"/>
        </w:rPr>
      </w:pPr>
      <w:r w:rsidRPr="00DD6364">
        <w:rPr>
          <w:rFonts w:ascii="Calibri" w:eastAsia="Calibri" w:hAnsi="Calibri" w:cs="Times New Roman"/>
        </w:rPr>
        <w:t>The SPLC is a catalyst for racial justice in the South and beyond, working in partnership with communities to dismantle white supremacy, strengthen intersectional movements, and advance the human rights of all people.</w:t>
      </w:r>
    </w:p>
    <w:p w14:paraId="680FA123" w14:textId="151E5A5F" w:rsidR="00DD6364" w:rsidRDefault="0068150E" w:rsidP="00DD6364">
      <w:pPr>
        <w:rPr>
          <w:rFonts w:ascii="Calibri" w:eastAsia="Calibri" w:hAnsi="Calibri" w:cs="Times New Roman"/>
          <w:b/>
          <w:u w:val="single"/>
        </w:rPr>
      </w:pPr>
      <w:hyperlink r:id="rId58" w:history="1">
        <w:r w:rsidR="00DD6364" w:rsidRPr="00DD6364">
          <w:rPr>
            <w:rStyle w:val="Hyperlink"/>
            <w:rFonts w:ascii="Calibri" w:eastAsia="Calibri" w:hAnsi="Calibri" w:cs="Times New Roman"/>
            <w:b/>
          </w:rPr>
          <w:t>RAND Corp</w:t>
        </w:r>
      </w:hyperlink>
    </w:p>
    <w:p w14:paraId="3AA5B6E6" w14:textId="04AB2C53" w:rsidR="00DD6364" w:rsidRPr="00DD6364" w:rsidRDefault="0068150E" w:rsidP="00DD6364">
      <w:pPr>
        <w:rPr>
          <w:rFonts w:ascii="Calibri" w:eastAsia="Calibri" w:hAnsi="Calibri" w:cs="Times New Roman"/>
          <w:b/>
          <w:u w:val="single"/>
        </w:rPr>
      </w:pPr>
      <w:hyperlink r:id="rId59" w:history="1">
        <w:r w:rsidR="00DD6364" w:rsidRPr="00DD6364">
          <w:rPr>
            <w:rStyle w:val="Hyperlink"/>
            <w:rFonts w:ascii="Calibri" w:eastAsia="Calibri" w:hAnsi="Calibri" w:cs="Times New Roman"/>
            <w:b/>
          </w:rPr>
          <w:t>U.S Department of Education</w:t>
        </w:r>
      </w:hyperlink>
    </w:p>
    <w:p w14:paraId="02666F19" w14:textId="157A8F45" w:rsidR="00DD6364" w:rsidRPr="00DD6364" w:rsidRDefault="0068150E" w:rsidP="00DD6364">
      <w:pPr>
        <w:rPr>
          <w:rFonts w:ascii="Calibri" w:eastAsia="Calibri" w:hAnsi="Calibri" w:cs="Times New Roman"/>
          <w:b/>
          <w:u w:val="single"/>
        </w:rPr>
      </w:pPr>
      <w:hyperlink r:id="rId60" w:history="1">
        <w:r w:rsidR="00DD6364" w:rsidRPr="00DD6364">
          <w:rPr>
            <w:rStyle w:val="Hyperlink"/>
            <w:rFonts w:ascii="Calibri" w:eastAsia="Calibri" w:hAnsi="Calibri" w:cs="Times New Roman"/>
            <w:b/>
          </w:rPr>
          <w:t>CRISP- Congressional Research Inst Soc Policy</w:t>
        </w:r>
      </w:hyperlink>
    </w:p>
    <w:p w14:paraId="34C0EC9E" w14:textId="19B18927" w:rsidR="00DD6364" w:rsidRPr="00DD6364" w:rsidRDefault="0068150E" w:rsidP="00DD6364">
      <w:pPr>
        <w:rPr>
          <w:rFonts w:ascii="Calibri" w:eastAsia="Calibri" w:hAnsi="Calibri" w:cs="Times New Roman"/>
          <w:b/>
          <w:u w:val="single"/>
        </w:rPr>
      </w:pPr>
      <w:hyperlink r:id="rId61" w:history="1">
        <w:r w:rsidR="00DD6364" w:rsidRPr="00DD6364">
          <w:rPr>
            <w:rStyle w:val="Hyperlink"/>
            <w:rFonts w:ascii="Calibri" w:eastAsia="Calibri" w:hAnsi="Calibri" w:cs="Times New Roman"/>
            <w:b/>
          </w:rPr>
          <w:t>Green Peace</w:t>
        </w:r>
      </w:hyperlink>
    </w:p>
    <w:p w14:paraId="684226C3" w14:textId="7CECA8E9" w:rsidR="00DD6364" w:rsidRPr="00DD6364" w:rsidRDefault="0068150E" w:rsidP="00DD6364">
      <w:pPr>
        <w:rPr>
          <w:rFonts w:ascii="Calibri" w:eastAsia="Calibri" w:hAnsi="Calibri" w:cs="Times New Roman"/>
          <w:b/>
          <w:u w:val="single"/>
        </w:rPr>
      </w:pPr>
      <w:hyperlink r:id="rId62" w:history="1">
        <w:r w:rsidR="00DD6364" w:rsidRPr="0022002E">
          <w:rPr>
            <w:rStyle w:val="Hyperlink"/>
            <w:rFonts w:ascii="Calibri" w:eastAsia="Calibri" w:hAnsi="Calibri" w:cs="Times New Roman"/>
            <w:b/>
          </w:rPr>
          <w:t>WHO</w:t>
        </w:r>
      </w:hyperlink>
    </w:p>
    <w:p w14:paraId="4CD5FDFA" w14:textId="67EBE04B" w:rsidR="00DD6364" w:rsidRPr="00DD6364" w:rsidRDefault="0068150E" w:rsidP="00DD6364">
      <w:pPr>
        <w:rPr>
          <w:rFonts w:ascii="Calibri" w:eastAsia="Calibri" w:hAnsi="Calibri" w:cs="Times New Roman"/>
          <w:b/>
          <w:u w:val="single"/>
        </w:rPr>
      </w:pPr>
      <w:hyperlink r:id="rId63" w:history="1">
        <w:r w:rsidR="00DD6364" w:rsidRPr="0022002E">
          <w:rPr>
            <w:rStyle w:val="Hyperlink"/>
            <w:rFonts w:ascii="Calibri" w:eastAsia="Calibri" w:hAnsi="Calibri" w:cs="Times New Roman"/>
            <w:b/>
          </w:rPr>
          <w:t>CDC</w:t>
        </w:r>
      </w:hyperlink>
    </w:p>
    <w:p w14:paraId="487D3251" w14:textId="25AC37C6" w:rsidR="00DD6364" w:rsidRPr="00DD6364" w:rsidRDefault="0068150E" w:rsidP="00DD6364">
      <w:pPr>
        <w:rPr>
          <w:rFonts w:ascii="Calibri" w:eastAsia="Calibri" w:hAnsi="Calibri" w:cs="Times New Roman"/>
          <w:b/>
          <w:u w:val="single"/>
        </w:rPr>
      </w:pPr>
      <w:hyperlink r:id="rId64" w:history="1">
        <w:r w:rsidR="00DD6364" w:rsidRPr="0022002E">
          <w:rPr>
            <w:rStyle w:val="Hyperlink"/>
            <w:rFonts w:ascii="Calibri" w:eastAsia="Calibri" w:hAnsi="Calibri" w:cs="Times New Roman"/>
            <w:b/>
          </w:rPr>
          <w:t>American Bar Assoc</w:t>
        </w:r>
        <w:r w:rsidR="0022002E" w:rsidRPr="0022002E">
          <w:rPr>
            <w:rStyle w:val="Hyperlink"/>
            <w:rFonts w:ascii="Calibri" w:eastAsia="Calibri" w:hAnsi="Calibri" w:cs="Times New Roman"/>
            <w:b/>
          </w:rPr>
          <w:t>iation</w:t>
        </w:r>
      </w:hyperlink>
    </w:p>
    <w:p w14:paraId="060026BF" w14:textId="17BAC1DA" w:rsidR="00DD6364" w:rsidRPr="00DD6364" w:rsidRDefault="0068150E" w:rsidP="00DD6364">
      <w:pPr>
        <w:rPr>
          <w:rFonts w:ascii="Calibri" w:eastAsia="Calibri" w:hAnsi="Calibri" w:cs="Times New Roman"/>
          <w:b/>
          <w:u w:val="single"/>
        </w:rPr>
      </w:pPr>
      <w:hyperlink r:id="rId65" w:history="1">
        <w:r w:rsidR="0022002E" w:rsidRPr="0022002E">
          <w:rPr>
            <w:rStyle w:val="Hyperlink"/>
            <w:rFonts w:ascii="Calibri" w:eastAsia="Calibri" w:hAnsi="Calibri" w:cs="Times New Roman"/>
            <w:b/>
          </w:rPr>
          <w:t xml:space="preserve">Center for </w:t>
        </w:r>
        <w:r w:rsidR="00DD6364" w:rsidRPr="0022002E">
          <w:rPr>
            <w:rStyle w:val="Hyperlink"/>
            <w:rFonts w:ascii="Calibri" w:eastAsia="Calibri" w:hAnsi="Calibri" w:cs="Times New Roman"/>
            <w:b/>
          </w:rPr>
          <w:t>Work Life Law</w:t>
        </w:r>
      </w:hyperlink>
    </w:p>
    <w:p w14:paraId="4EDB0E48" w14:textId="6EFA976D" w:rsidR="00DD6364" w:rsidRPr="00DD6364" w:rsidRDefault="0068150E" w:rsidP="00DD6364">
      <w:pPr>
        <w:rPr>
          <w:rFonts w:ascii="Calibri" w:eastAsia="Calibri" w:hAnsi="Calibri" w:cs="Times New Roman"/>
          <w:b/>
          <w:u w:val="single"/>
        </w:rPr>
      </w:pPr>
      <w:hyperlink r:id="rId66" w:history="1">
        <w:r w:rsidR="0022002E" w:rsidRPr="0022002E">
          <w:rPr>
            <w:rStyle w:val="Hyperlink"/>
            <w:rFonts w:ascii="Calibri" w:eastAsia="Calibri" w:hAnsi="Calibri" w:cs="Times New Roman"/>
            <w:b/>
          </w:rPr>
          <w:t xml:space="preserve">The </w:t>
        </w:r>
        <w:r w:rsidR="00DD6364" w:rsidRPr="0022002E">
          <w:rPr>
            <w:rStyle w:val="Hyperlink"/>
            <w:rFonts w:ascii="Calibri" w:eastAsia="Calibri" w:hAnsi="Calibri" w:cs="Times New Roman"/>
            <w:b/>
          </w:rPr>
          <w:t>Network for Social Work Management</w:t>
        </w:r>
      </w:hyperlink>
    </w:p>
    <w:p w14:paraId="525AD5A1" w14:textId="6EA795E1" w:rsidR="00DD6364" w:rsidRPr="00DD6364" w:rsidRDefault="0068150E" w:rsidP="00DD6364">
      <w:pPr>
        <w:rPr>
          <w:rFonts w:ascii="Calibri" w:eastAsia="Calibri" w:hAnsi="Calibri" w:cs="Times New Roman"/>
          <w:b/>
          <w:u w:val="single"/>
        </w:rPr>
      </w:pPr>
      <w:hyperlink r:id="rId67" w:history="1">
        <w:r w:rsidR="00DD6364" w:rsidRPr="0022002E">
          <w:rPr>
            <w:rStyle w:val="Hyperlink"/>
            <w:rFonts w:ascii="Calibri" w:eastAsia="Calibri" w:hAnsi="Calibri" w:cs="Times New Roman"/>
            <w:b/>
          </w:rPr>
          <w:t>National Inst</w:t>
        </w:r>
        <w:r w:rsidR="0022002E" w:rsidRPr="0022002E">
          <w:rPr>
            <w:rStyle w:val="Hyperlink"/>
            <w:rFonts w:ascii="Calibri" w:eastAsia="Calibri" w:hAnsi="Calibri" w:cs="Times New Roman"/>
            <w:b/>
          </w:rPr>
          <w:t xml:space="preserve">itute of </w:t>
        </w:r>
        <w:r w:rsidR="00DD6364" w:rsidRPr="0022002E">
          <w:rPr>
            <w:rStyle w:val="Hyperlink"/>
            <w:rFonts w:ascii="Calibri" w:eastAsia="Calibri" w:hAnsi="Calibri" w:cs="Times New Roman"/>
            <w:b/>
          </w:rPr>
          <w:t>Health</w:t>
        </w:r>
      </w:hyperlink>
    </w:p>
    <w:p w14:paraId="01C26A9E" w14:textId="20325826" w:rsidR="00DD6364" w:rsidRPr="00DD6364" w:rsidRDefault="0068150E" w:rsidP="00DD6364">
      <w:pPr>
        <w:rPr>
          <w:rFonts w:ascii="Calibri" w:eastAsia="Calibri" w:hAnsi="Calibri" w:cs="Times New Roman"/>
          <w:b/>
          <w:u w:val="single"/>
        </w:rPr>
      </w:pPr>
      <w:hyperlink r:id="rId68" w:history="1">
        <w:r w:rsidR="0022002E" w:rsidRPr="0022002E">
          <w:rPr>
            <w:rStyle w:val="Hyperlink"/>
            <w:rFonts w:ascii="Calibri" w:eastAsia="Calibri" w:hAnsi="Calibri" w:cs="Times New Roman"/>
            <w:b/>
          </w:rPr>
          <w:t>SAM</w:t>
        </w:r>
        <w:r w:rsidR="00DD6364" w:rsidRPr="0022002E">
          <w:rPr>
            <w:rStyle w:val="Hyperlink"/>
            <w:rFonts w:ascii="Calibri" w:eastAsia="Calibri" w:hAnsi="Calibri" w:cs="Times New Roman"/>
            <w:b/>
          </w:rPr>
          <w:t>H</w:t>
        </w:r>
        <w:r w:rsidR="0022002E" w:rsidRPr="0022002E">
          <w:rPr>
            <w:rStyle w:val="Hyperlink"/>
            <w:rFonts w:ascii="Calibri" w:eastAsia="Calibri" w:hAnsi="Calibri" w:cs="Times New Roman"/>
            <w:b/>
          </w:rPr>
          <w:t>S</w:t>
        </w:r>
        <w:r w:rsidR="00DD6364" w:rsidRPr="0022002E">
          <w:rPr>
            <w:rStyle w:val="Hyperlink"/>
            <w:rFonts w:ascii="Calibri" w:eastAsia="Calibri" w:hAnsi="Calibri" w:cs="Times New Roman"/>
            <w:b/>
          </w:rPr>
          <w:t>A</w:t>
        </w:r>
        <w:r w:rsidR="0022002E" w:rsidRPr="0022002E">
          <w:rPr>
            <w:rStyle w:val="Hyperlink"/>
            <w:rFonts w:ascii="Calibri" w:eastAsia="Calibri" w:hAnsi="Calibri" w:cs="Times New Roman"/>
            <w:b/>
          </w:rPr>
          <w:t xml:space="preserve"> Substance Abuse and mental Health Services Association</w:t>
        </w:r>
      </w:hyperlink>
    </w:p>
    <w:p w14:paraId="1A80DCCF" w14:textId="022DF848" w:rsidR="00DD6364" w:rsidRPr="00DD6364" w:rsidRDefault="0068150E" w:rsidP="00DD6364">
      <w:pPr>
        <w:rPr>
          <w:rFonts w:ascii="Calibri" w:eastAsia="Calibri" w:hAnsi="Calibri" w:cs="Times New Roman"/>
          <w:b/>
          <w:u w:val="single"/>
        </w:rPr>
      </w:pPr>
      <w:hyperlink r:id="rId69" w:history="1">
        <w:r w:rsidR="00DD6364" w:rsidRPr="00917467">
          <w:rPr>
            <w:rStyle w:val="Hyperlink"/>
            <w:rFonts w:ascii="Calibri" w:eastAsia="Calibri" w:hAnsi="Calibri" w:cs="Times New Roman"/>
            <w:b/>
          </w:rPr>
          <w:t>AARP</w:t>
        </w:r>
      </w:hyperlink>
    </w:p>
    <w:p w14:paraId="5CA3A786" w14:textId="4461B999" w:rsidR="00DD6364" w:rsidRPr="00917467" w:rsidRDefault="00917467" w:rsidP="00DD6364">
      <w:pPr>
        <w:rPr>
          <w:rStyle w:val="Hyperlink"/>
          <w:rFonts w:ascii="Calibri" w:eastAsia="Calibri" w:hAnsi="Calibri" w:cs="Times New Roman"/>
          <w:b/>
        </w:rPr>
      </w:pPr>
      <w:r>
        <w:rPr>
          <w:rFonts w:ascii="Calibri" w:eastAsia="Calibri" w:hAnsi="Calibri" w:cs="Times New Roman"/>
          <w:b/>
          <w:u w:val="single"/>
        </w:rPr>
        <w:fldChar w:fldCharType="begin"/>
      </w:r>
      <w:r>
        <w:rPr>
          <w:rFonts w:ascii="Calibri" w:eastAsia="Calibri" w:hAnsi="Calibri" w:cs="Times New Roman"/>
          <w:b/>
          <w:u w:val="single"/>
        </w:rPr>
        <w:instrText xml:space="preserve"> HYPERLINK "https://datacenter.kidscount.org/" </w:instrText>
      </w:r>
      <w:r>
        <w:rPr>
          <w:rFonts w:ascii="Calibri" w:eastAsia="Calibri" w:hAnsi="Calibri" w:cs="Times New Roman"/>
          <w:b/>
          <w:u w:val="single"/>
        </w:rPr>
        <w:fldChar w:fldCharType="separate"/>
      </w:r>
      <w:r w:rsidRPr="00917467">
        <w:rPr>
          <w:rStyle w:val="Hyperlink"/>
          <w:rFonts w:ascii="Calibri" w:eastAsia="Calibri" w:hAnsi="Calibri" w:cs="Times New Roman"/>
          <w:b/>
        </w:rPr>
        <w:t xml:space="preserve">Annie E </w:t>
      </w:r>
      <w:r w:rsidR="00DD6364" w:rsidRPr="00917467">
        <w:rPr>
          <w:rStyle w:val="Hyperlink"/>
          <w:rFonts w:ascii="Calibri" w:eastAsia="Calibri" w:hAnsi="Calibri" w:cs="Times New Roman"/>
          <w:b/>
        </w:rPr>
        <w:t>Casey Family Foundation – Kids</w:t>
      </w:r>
      <w:r>
        <w:rPr>
          <w:rStyle w:val="Hyperlink"/>
          <w:rFonts w:ascii="Calibri" w:eastAsia="Calibri" w:hAnsi="Calibri" w:cs="Times New Roman"/>
          <w:b/>
        </w:rPr>
        <w:t xml:space="preserve"> </w:t>
      </w:r>
      <w:r w:rsidR="00DD6364" w:rsidRPr="00917467">
        <w:rPr>
          <w:rStyle w:val="Hyperlink"/>
          <w:rFonts w:ascii="Calibri" w:eastAsia="Calibri" w:hAnsi="Calibri" w:cs="Times New Roman"/>
          <w:b/>
        </w:rPr>
        <w:t>Count</w:t>
      </w:r>
    </w:p>
    <w:p w14:paraId="10627F1F" w14:textId="527E96CC" w:rsidR="00DD6364" w:rsidRPr="00DD6364" w:rsidRDefault="00917467" w:rsidP="00DD6364">
      <w:pPr>
        <w:rPr>
          <w:rFonts w:ascii="Calibri" w:eastAsia="Calibri" w:hAnsi="Calibri" w:cs="Times New Roman"/>
          <w:b/>
          <w:u w:val="single"/>
        </w:rPr>
      </w:pPr>
      <w:r>
        <w:rPr>
          <w:rFonts w:ascii="Calibri" w:eastAsia="Calibri" w:hAnsi="Calibri" w:cs="Times New Roman"/>
          <w:b/>
          <w:u w:val="single"/>
        </w:rPr>
        <w:fldChar w:fldCharType="end"/>
      </w:r>
      <w:hyperlink r:id="rId70" w:history="1">
        <w:r w:rsidR="00DD6364" w:rsidRPr="00917467">
          <w:rPr>
            <w:rStyle w:val="Hyperlink"/>
            <w:rFonts w:ascii="Calibri" w:eastAsia="Calibri" w:hAnsi="Calibri" w:cs="Times New Roman"/>
            <w:b/>
          </w:rPr>
          <w:t>Embrace Race</w:t>
        </w:r>
      </w:hyperlink>
    </w:p>
    <w:p w14:paraId="2DB38136" w14:textId="03FBAC34" w:rsidR="00DD6364" w:rsidRPr="00DD6364" w:rsidRDefault="0068150E" w:rsidP="00DD6364">
      <w:pPr>
        <w:rPr>
          <w:rFonts w:ascii="Calibri" w:eastAsia="Calibri" w:hAnsi="Calibri" w:cs="Times New Roman"/>
          <w:b/>
          <w:u w:val="single"/>
        </w:rPr>
      </w:pPr>
      <w:hyperlink r:id="rId71" w:history="1">
        <w:proofErr w:type="spellStart"/>
        <w:r w:rsidR="00DD6364" w:rsidRPr="00917467">
          <w:rPr>
            <w:rStyle w:val="Hyperlink"/>
            <w:rFonts w:ascii="Calibri" w:eastAsia="Calibri" w:hAnsi="Calibri" w:cs="Times New Roman"/>
            <w:b/>
          </w:rPr>
          <w:t>Anti Racism</w:t>
        </w:r>
        <w:proofErr w:type="spellEnd"/>
        <w:r w:rsidR="00DD6364" w:rsidRPr="00917467">
          <w:rPr>
            <w:rStyle w:val="Hyperlink"/>
            <w:rFonts w:ascii="Calibri" w:eastAsia="Calibri" w:hAnsi="Calibri" w:cs="Times New Roman"/>
            <w:b/>
          </w:rPr>
          <w:t xml:space="preserve"> Daily</w:t>
        </w:r>
      </w:hyperlink>
      <w:r w:rsidR="00DD6364" w:rsidRPr="00DD6364">
        <w:rPr>
          <w:rFonts w:ascii="Calibri" w:eastAsia="Calibri" w:hAnsi="Calibri" w:cs="Times New Roman"/>
          <w:b/>
          <w:u w:val="single"/>
        </w:rPr>
        <w:t xml:space="preserve"> </w:t>
      </w:r>
    </w:p>
    <w:p w14:paraId="4BCC85D7" w14:textId="77777777" w:rsidR="00917467" w:rsidRDefault="0068150E" w:rsidP="00DD6364">
      <w:pPr>
        <w:rPr>
          <w:rFonts w:ascii="Calibri" w:eastAsia="Calibri" w:hAnsi="Calibri" w:cs="Times New Roman"/>
          <w:b/>
          <w:u w:val="single"/>
        </w:rPr>
      </w:pPr>
      <w:hyperlink r:id="rId72" w:history="1">
        <w:r w:rsidR="00DD6364" w:rsidRPr="00917467">
          <w:rPr>
            <w:rStyle w:val="Hyperlink"/>
            <w:rFonts w:ascii="Calibri" w:eastAsia="Calibri" w:hAnsi="Calibri" w:cs="Times New Roman"/>
            <w:b/>
          </w:rPr>
          <w:t>G</w:t>
        </w:r>
        <w:r w:rsidR="00917467" w:rsidRPr="00917467">
          <w:rPr>
            <w:rStyle w:val="Hyperlink"/>
            <w:rFonts w:ascii="Calibri" w:eastAsia="Calibri" w:hAnsi="Calibri" w:cs="Times New Roman"/>
            <w:b/>
          </w:rPr>
          <w:t xml:space="preserve">overnment </w:t>
        </w:r>
        <w:r w:rsidR="00DD6364" w:rsidRPr="00917467">
          <w:rPr>
            <w:rStyle w:val="Hyperlink"/>
            <w:rFonts w:ascii="Calibri" w:eastAsia="Calibri" w:hAnsi="Calibri" w:cs="Times New Roman"/>
            <w:b/>
          </w:rPr>
          <w:t>A</w:t>
        </w:r>
        <w:r w:rsidR="00917467" w:rsidRPr="00917467">
          <w:rPr>
            <w:rStyle w:val="Hyperlink"/>
            <w:rFonts w:ascii="Calibri" w:eastAsia="Calibri" w:hAnsi="Calibri" w:cs="Times New Roman"/>
            <w:b/>
          </w:rPr>
          <w:t>ccountability Office</w:t>
        </w:r>
      </w:hyperlink>
    </w:p>
    <w:p w14:paraId="5A70C0E5" w14:textId="42DCB0C3" w:rsidR="00DD6364" w:rsidRPr="00DD6364" w:rsidRDefault="00DD6364" w:rsidP="00DD6364">
      <w:pPr>
        <w:rPr>
          <w:rFonts w:ascii="Calibri" w:eastAsia="Calibri" w:hAnsi="Calibri" w:cs="Times New Roman"/>
          <w:b/>
          <w:u w:val="single"/>
        </w:rPr>
      </w:pPr>
    </w:p>
    <w:p w14:paraId="32A4E796" w14:textId="77777777" w:rsidR="00DD6364" w:rsidRPr="00DD6364" w:rsidRDefault="00DD6364" w:rsidP="00DD6364">
      <w:pPr>
        <w:rPr>
          <w:rFonts w:ascii="Calibri" w:eastAsia="Calibri" w:hAnsi="Calibri" w:cs="Times New Roman"/>
          <w:b/>
          <w:u w:val="single"/>
        </w:rPr>
      </w:pP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lastRenderedPageBreak/>
        <w:t>Appendix D: Suzanne Dworak-Peck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73"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74"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75"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76" w:history="1">
        <w:r w:rsidRPr="0094348C">
          <w:rPr>
            <w:rStyle w:val="Hyperlink"/>
            <w:rFonts w:ascii="Times New Roman" w:hAnsi="Times New Roman" w:cs="Times New Roman"/>
          </w:rPr>
          <w:t>SCampus</w:t>
        </w:r>
      </w:hyperlink>
      <w:r w:rsidRPr="0094348C">
        <w:rPr>
          <w:rFonts w:ascii="Times New Roman" w:hAnsi="Times New Roman" w:cs="Times New Roman"/>
        </w:rPr>
        <w:t xml:space="preserve"> and to the </w:t>
      </w:r>
      <w:hyperlink r:id="rId77"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in SCampus</w:t>
      </w:r>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r w:rsidRPr="002E28D4">
        <w:rPr>
          <w:rFonts w:ascii="Times New Roman" w:hAnsi="Times New Roman" w:cs="Times New Roman"/>
        </w:rPr>
        <w:t xml:space="preserve">SCampus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2A0843">
        <w:rPr>
          <w:rFonts w:ascii="Times New Roman" w:hAnsi="Times New Roman" w:cs="Times New Roman"/>
          <w:b/>
          <w:color w:val="991B1E"/>
          <w:highlight w:val="yellow"/>
        </w:rPr>
        <w:t>Policy on Late or Make-up Work</w:t>
      </w:r>
    </w:p>
    <w:p w14:paraId="50E2DB7B" w14:textId="3CEAB72C" w:rsidR="001D3EAB" w:rsidRPr="001D3EAB" w:rsidRDefault="001D3EAB" w:rsidP="002E28D4">
      <w:pPr>
        <w:rPr>
          <w:rFonts w:ascii="Times New Roman" w:hAnsi="Times New Roman" w:cs="Times New Roman"/>
        </w:rPr>
      </w:pPr>
      <w:r w:rsidRPr="001D3EAB">
        <w:rPr>
          <w:rFonts w:ascii="Times New Roman" w:hAnsi="Times New Roman" w:cs="Times New Roman"/>
        </w:rPr>
        <w:t xml:space="preserve">Papers are due on the day and time specified.  Extensions </w:t>
      </w:r>
      <w:r w:rsidR="002A0843">
        <w:rPr>
          <w:rFonts w:ascii="Times New Roman" w:hAnsi="Times New Roman" w:cs="Times New Roman"/>
        </w:rPr>
        <w:t>may</w:t>
      </w:r>
      <w:r w:rsidRPr="001D3EAB">
        <w:rPr>
          <w:rFonts w:ascii="Times New Roman" w:hAnsi="Times New Roman" w:cs="Times New Roman"/>
        </w:rPr>
        <w:t xml:space="preserve"> be </w:t>
      </w:r>
      <w:proofErr w:type="gramStart"/>
      <w:r w:rsidRPr="001D3EAB">
        <w:rPr>
          <w:rFonts w:ascii="Times New Roman" w:hAnsi="Times New Roman" w:cs="Times New Roman"/>
        </w:rPr>
        <w:t>granted</w:t>
      </w:r>
      <w:r w:rsidR="00903C13">
        <w:rPr>
          <w:rFonts w:ascii="Times New Roman" w:hAnsi="Times New Roman" w:cs="Times New Roman"/>
        </w:rPr>
        <w:t>, but</w:t>
      </w:r>
      <w:proofErr w:type="gramEnd"/>
      <w:r w:rsidRPr="001D3EAB">
        <w:rPr>
          <w:rFonts w:ascii="Times New Roman" w:hAnsi="Times New Roman" w:cs="Times New Roman"/>
        </w:rPr>
        <w:t xml:space="preserve"> </w:t>
      </w:r>
      <w:r w:rsidR="00903C13">
        <w:rPr>
          <w:rFonts w:ascii="Times New Roman" w:hAnsi="Times New Roman" w:cs="Times New Roman"/>
        </w:rPr>
        <w:t>depend on the</w:t>
      </w:r>
      <w:r w:rsidRPr="001D3EAB">
        <w:rPr>
          <w:rFonts w:ascii="Times New Roman" w:hAnsi="Times New Roman" w:cs="Times New Roman"/>
        </w:rPr>
        <w:t xml:space="preserve"> extenuating circumstances.  </w:t>
      </w:r>
      <w:r w:rsidR="00903C13">
        <w:rPr>
          <w:rFonts w:ascii="Times New Roman" w:hAnsi="Times New Roman" w:cs="Times New Roman"/>
        </w:rPr>
        <w:t xml:space="preserve">Any requests for consideration *must* be made in advance. </w:t>
      </w:r>
      <w:proofErr w:type="spellStart"/>
      <w:r w:rsidRPr="001D3EAB">
        <w:rPr>
          <w:rFonts w:ascii="Times New Roman" w:hAnsi="Times New Roman" w:cs="Times New Roman"/>
        </w:rPr>
        <w:t>If</w:t>
      </w:r>
      <w:proofErr w:type="spellEnd"/>
      <w:r w:rsidRPr="001D3EAB">
        <w:rPr>
          <w:rFonts w:ascii="Times New Roman" w:hAnsi="Times New Roman" w:cs="Times New Roman"/>
        </w:rPr>
        <w:t xml:space="preserve">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78"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63577590"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w:t>
      </w:r>
      <w:r w:rsidR="00903C13">
        <w:rPr>
          <w:rFonts w:ascii="Times New Roman" w:hAnsi="Times New Roman" w:cs="Times New Roman"/>
        </w:rPr>
        <w:t xml:space="preserve"> actively</w:t>
      </w:r>
      <w:r w:rsidRPr="00331553">
        <w:rPr>
          <w:rFonts w:ascii="Times New Roman" w:hAnsi="Times New Roman" w:cs="Times New Roman"/>
        </w:rPr>
        <w:t xml:space="preserve"> in class discussions.</w:t>
      </w:r>
    </w:p>
    <w:p w14:paraId="6A94953D" w14:textId="6FE0323C"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w:t>
      </w:r>
      <w:r w:rsidR="00903C13">
        <w:rPr>
          <w:rFonts w:ascii="Times New Roman" w:hAnsi="Times New Roman" w:cs="Times New Roman"/>
        </w:rPr>
        <w:t>u</w:t>
      </w:r>
      <w:r w:rsidRPr="00331553">
        <w:rPr>
          <w:rFonts w:ascii="Times New Roman" w:hAnsi="Times New Roman" w:cs="Times New Roman"/>
        </w:rPr>
        <w:t xml:space="preserve">nit again, along with your notes from that Unit. </w:t>
      </w:r>
    </w:p>
    <w:p w14:paraId="612E4762" w14:textId="5AF81010"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If you don't understand something, ask questions! Ask questions in class, during office hours, and/or through email</w:t>
      </w:r>
      <w:r w:rsidR="00903C13">
        <w:rPr>
          <w:rFonts w:ascii="Times New Roman" w:hAnsi="Times New Roman" w:cs="Times New Roman"/>
        </w:rPr>
        <w:t>.</w:t>
      </w:r>
      <w:r w:rsidRPr="00331553">
        <w:rPr>
          <w:rFonts w:ascii="Times New Roman" w:hAnsi="Times New Roman" w:cs="Times New Roman"/>
        </w:rPr>
        <w:t xml:space="preserve">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68150E" w:rsidP="00EC4270">
      <w:pPr>
        <w:pStyle w:val="NoSpacing"/>
        <w:rPr>
          <w:rFonts w:ascii="Times New Roman" w:hAnsi="Times New Roman" w:cs="Times New Roman"/>
        </w:rPr>
      </w:pPr>
      <w:hyperlink r:id="rId79"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National Suicide Prevention Lifeline</w:t>
      </w:r>
      <w:r w:rsidR="00D67081" w:rsidRPr="00EC4270">
        <w:rPr>
          <w:rFonts w:ascii="Times New Roman" w:hAnsi="Times New Roman" w:cs="Times New Roman"/>
          <w:b/>
          <w:lang w:val="fr-FR"/>
        </w:rPr>
        <w:t xml:space="preserve"> </w:t>
      </w:r>
    </w:p>
    <w:p w14:paraId="3DDB1915" w14:textId="1775C720" w:rsidR="00D67081" w:rsidRPr="00EC4270" w:rsidRDefault="0068150E" w:rsidP="00EC4270">
      <w:pPr>
        <w:pStyle w:val="NoSpacing"/>
        <w:rPr>
          <w:rFonts w:ascii="Times New Roman" w:hAnsi="Times New Roman" w:cs="Times New Roman"/>
          <w:lang w:val="fr-FR"/>
        </w:rPr>
      </w:pPr>
      <w:hyperlink r:id="rId80"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68150E" w:rsidP="00EC4270">
      <w:pPr>
        <w:pStyle w:val="NoSpacing"/>
        <w:rPr>
          <w:rFonts w:ascii="Times New Roman" w:hAnsi="Times New Roman" w:cs="Times New Roman"/>
        </w:rPr>
      </w:pPr>
      <w:hyperlink r:id="rId81"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68150E" w:rsidP="00EC4270">
      <w:pPr>
        <w:pStyle w:val="NoSpacing"/>
        <w:rPr>
          <w:rFonts w:ascii="Times New Roman" w:hAnsi="Times New Roman" w:cs="Times New Roman"/>
        </w:rPr>
      </w:pPr>
      <w:hyperlink r:id="rId82"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68150E" w:rsidP="00EC4270">
      <w:pPr>
        <w:pStyle w:val="NoSpacing"/>
        <w:rPr>
          <w:rFonts w:ascii="Times New Roman" w:hAnsi="Times New Roman" w:cs="Times New Roman"/>
        </w:rPr>
      </w:pPr>
      <w:hyperlink r:id="rId83"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68150E" w:rsidP="00EC4270">
      <w:pPr>
        <w:pStyle w:val="NoSpacing"/>
        <w:rPr>
          <w:rFonts w:ascii="Times New Roman" w:hAnsi="Times New Roman" w:cs="Times New Roman"/>
        </w:rPr>
      </w:pPr>
      <w:hyperlink r:id="rId84"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68150E" w:rsidP="00EC4270">
      <w:pPr>
        <w:pStyle w:val="NoSpacing"/>
        <w:rPr>
          <w:rFonts w:ascii="Times New Roman" w:hAnsi="Times New Roman" w:cs="Times New Roman"/>
        </w:rPr>
      </w:pPr>
      <w:hyperlink r:id="rId85"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68150E" w:rsidP="00EC4270">
      <w:pPr>
        <w:pStyle w:val="NoSpacing"/>
        <w:rPr>
          <w:rFonts w:ascii="Times New Roman" w:hAnsi="Times New Roman" w:cs="Times New Roman"/>
        </w:rPr>
      </w:pPr>
      <w:hyperlink r:id="rId86"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68150E" w:rsidP="00EC4270">
      <w:pPr>
        <w:pStyle w:val="NoSpacing"/>
        <w:rPr>
          <w:rFonts w:ascii="Times New Roman" w:hAnsi="Times New Roman" w:cs="Times New Roman"/>
        </w:rPr>
      </w:pPr>
      <w:hyperlink r:id="rId87"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68150E" w:rsidP="000C6A36">
      <w:pPr>
        <w:pStyle w:val="NoSpacing"/>
        <w:rPr>
          <w:rFonts w:ascii="Times New Roman" w:hAnsi="Times New Roman" w:cs="Times New Roman"/>
        </w:rPr>
      </w:pPr>
      <w:hyperlink r:id="rId88"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205F1BE2"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default" r:id="rId89"/>
      <w:footerReference w:type="default" r:id="rId90"/>
      <w:headerReference w:type="first" r:id="rId91"/>
      <w:footerReference w:type="first" r:id="rId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D464" w14:textId="77777777" w:rsidR="0068150E" w:rsidRDefault="0068150E" w:rsidP="00D50789">
      <w:pPr>
        <w:spacing w:after="0" w:line="240" w:lineRule="auto"/>
      </w:pPr>
      <w:r>
        <w:separator/>
      </w:r>
    </w:p>
  </w:endnote>
  <w:endnote w:type="continuationSeparator" w:id="0">
    <w:p w14:paraId="3DCFEEC6" w14:textId="77777777" w:rsidR="0068150E" w:rsidRDefault="0068150E"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58927B7E" w:rsidR="00063795" w:rsidRPr="00F70E4C" w:rsidRDefault="001021B7">
    <w:pPr>
      <w:pStyle w:val="Footer"/>
      <w:rPr>
        <w:rFonts w:ascii="Times New Roman" w:hAnsi="Times New Roman" w:cs="Times New Roman"/>
      </w:rPr>
    </w:pPr>
    <w:r>
      <w:rPr>
        <w:rFonts w:ascii="Times New Roman" w:hAnsi="Times New Roman" w:cs="Times New Roman"/>
      </w:rPr>
      <w:t>Fall 2021</w:t>
    </w:r>
    <w:r w:rsidR="00063795" w:rsidRPr="00F70E4C">
      <w:rPr>
        <w:rFonts w:ascii="Times New Roman" w:hAnsi="Times New Roman" w:cs="Times New Roman"/>
      </w:rPr>
      <w:ptab w:relativeTo="margin" w:alignment="center" w:leader="none"/>
    </w:r>
    <w:r w:rsidR="00063795" w:rsidRPr="00F70E4C">
      <w:rPr>
        <w:rFonts w:ascii="Times New Roman" w:hAnsi="Times New Roman" w:cs="Times New Roman"/>
      </w:rPr>
      <w:ptab w:relativeTo="margin" w:alignment="right" w:leader="none"/>
    </w:r>
    <w:r w:rsidR="00063795" w:rsidRPr="00F70E4C">
      <w:rPr>
        <w:rFonts w:ascii="Times New Roman" w:hAnsi="Times New Roman" w:cs="Times New Roman"/>
      </w:rPr>
      <w:t xml:space="preserve">Page </w:t>
    </w:r>
    <w:r w:rsidR="00063795" w:rsidRPr="00F70E4C">
      <w:rPr>
        <w:rFonts w:ascii="Times New Roman" w:hAnsi="Times New Roman" w:cs="Times New Roman"/>
        <w:b/>
        <w:bCs/>
      </w:rPr>
      <w:fldChar w:fldCharType="begin"/>
    </w:r>
    <w:r w:rsidR="00063795" w:rsidRPr="00F70E4C">
      <w:rPr>
        <w:rFonts w:ascii="Times New Roman" w:hAnsi="Times New Roman" w:cs="Times New Roman"/>
        <w:b/>
        <w:bCs/>
      </w:rPr>
      <w:instrText xml:space="preserve"> PAGE  \* Arabic  \* MERGEFORMAT </w:instrText>
    </w:r>
    <w:r w:rsidR="00063795" w:rsidRPr="00F70E4C">
      <w:rPr>
        <w:rFonts w:ascii="Times New Roman" w:hAnsi="Times New Roman" w:cs="Times New Roman"/>
        <w:b/>
        <w:bCs/>
      </w:rPr>
      <w:fldChar w:fldCharType="separate"/>
    </w:r>
    <w:r w:rsidR="00A50AD8">
      <w:rPr>
        <w:rFonts w:ascii="Times New Roman" w:hAnsi="Times New Roman" w:cs="Times New Roman"/>
        <w:b/>
        <w:bCs/>
        <w:noProof/>
      </w:rPr>
      <w:t>21</w:t>
    </w:r>
    <w:r w:rsidR="00063795" w:rsidRPr="00F70E4C">
      <w:rPr>
        <w:rFonts w:ascii="Times New Roman" w:hAnsi="Times New Roman" w:cs="Times New Roman"/>
        <w:b/>
        <w:bCs/>
      </w:rPr>
      <w:fldChar w:fldCharType="end"/>
    </w:r>
    <w:r w:rsidR="00063795" w:rsidRPr="00F70E4C">
      <w:rPr>
        <w:rFonts w:ascii="Times New Roman" w:hAnsi="Times New Roman" w:cs="Times New Roman"/>
      </w:rPr>
      <w:t xml:space="preserve"> of </w:t>
    </w:r>
    <w:r w:rsidR="00063795" w:rsidRPr="00F70E4C">
      <w:rPr>
        <w:rFonts w:ascii="Times New Roman" w:hAnsi="Times New Roman" w:cs="Times New Roman"/>
        <w:b/>
        <w:bCs/>
      </w:rPr>
      <w:fldChar w:fldCharType="begin"/>
    </w:r>
    <w:r w:rsidR="00063795" w:rsidRPr="00F70E4C">
      <w:rPr>
        <w:rFonts w:ascii="Times New Roman" w:hAnsi="Times New Roman" w:cs="Times New Roman"/>
        <w:b/>
        <w:bCs/>
      </w:rPr>
      <w:instrText xml:space="preserve"> NUMPAGES  \* Arabic  \* MERGEFORMAT </w:instrText>
    </w:r>
    <w:r w:rsidR="00063795" w:rsidRPr="00F70E4C">
      <w:rPr>
        <w:rFonts w:ascii="Times New Roman" w:hAnsi="Times New Roman" w:cs="Times New Roman"/>
        <w:b/>
        <w:bCs/>
      </w:rPr>
      <w:fldChar w:fldCharType="separate"/>
    </w:r>
    <w:r w:rsidR="00A50AD8">
      <w:rPr>
        <w:rFonts w:ascii="Times New Roman" w:hAnsi="Times New Roman" w:cs="Times New Roman"/>
        <w:b/>
        <w:bCs/>
        <w:noProof/>
      </w:rPr>
      <w:t>35</w:t>
    </w:r>
    <w:r w:rsidR="00063795"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76BAEE4F" w:rsidR="00063795" w:rsidRPr="00B9300D" w:rsidRDefault="005520A5">
    <w:pPr>
      <w:pStyle w:val="Footer"/>
      <w:rPr>
        <w:rFonts w:ascii="Times New Roman" w:hAnsi="Times New Roman" w:cs="Times New Roman"/>
      </w:rPr>
    </w:pPr>
    <w:r>
      <w:rPr>
        <w:rFonts w:ascii="Times New Roman" w:hAnsi="Times New Roman" w:cs="Times New Roman"/>
      </w:rPr>
      <w:t>Fall 2021 course lead Dr Stacy</w:t>
    </w:r>
    <w:r w:rsidR="00894E38">
      <w:rPr>
        <w:rFonts w:ascii="Times New Roman" w:hAnsi="Times New Roman" w:cs="Times New Roman"/>
      </w:rPr>
      <w:t xml:space="preserve"> FALL 2021 08 </w:t>
    </w:r>
    <w:r w:rsidR="001021B7">
      <w:rPr>
        <w:rFonts w:ascii="Times New Roman" w:hAnsi="Times New Roman" w:cs="Times New Roman"/>
      </w:rPr>
      <w:t>09</w:t>
    </w:r>
    <w:r w:rsidR="00894E38">
      <w:rPr>
        <w:rFonts w:ascii="Times New Roman" w:hAnsi="Times New Roman" w:cs="Times New Roman"/>
      </w:rPr>
      <w:t xml:space="preserve"> </w:t>
    </w:r>
    <w:r w:rsidR="00063795" w:rsidRPr="00B9300D">
      <w:rPr>
        <w:rFonts w:ascii="Times New Roman" w:hAnsi="Times New Roman" w:cs="Times New Roman"/>
      </w:rPr>
      <w:ptab w:relativeTo="margin" w:alignment="center" w:leader="none"/>
    </w:r>
    <w:r w:rsidR="00063795" w:rsidRPr="00B9300D">
      <w:rPr>
        <w:rFonts w:ascii="Times New Roman" w:hAnsi="Times New Roman" w:cs="Times New Roman"/>
      </w:rPr>
      <w:ptab w:relativeTo="margin" w:alignment="right" w:leader="none"/>
    </w:r>
    <w:r w:rsidR="00063795" w:rsidRPr="00B9300D">
      <w:rPr>
        <w:rFonts w:ascii="Times New Roman" w:hAnsi="Times New Roman" w:cs="Times New Roman"/>
      </w:rPr>
      <w:t xml:space="preserve">Page </w:t>
    </w:r>
    <w:r w:rsidR="00063795" w:rsidRPr="00B9300D">
      <w:rPr>
        <w:rFonts w:ascii="Times New Roman" w:hAnsi="Times New Roman" w:cs="Times New Roman"/>
        <w:b/>
        <w:bCs/>
      </w:rPr>
      <w:fldChar w:fldCharType="begin"/>
    </w:r>
    <w:r w:rsidR="00063795" w:rsidRPr="00B9300D">
      <w:rPr>
        <w:rFonts w:ascii="Times New Roman" w:hAnsi="Times New Roman" w:cs="Times New Roman"/>
        <w:b/>
        <w:bCs/>
      </w:rPr>
      <w:instrText xml:space="preserve"> PAGE  \* Arabic  \* MERGEFORMAT </w:instrText>
    </w:r>
    <w:r w:rsidR="00063795" w:rsidRPr="00B9300D">
      <w:rPr>
        <w:rFonts w:ascii="Times New Roman" w:hAnsi="Times New Roman" w:cs="Times New Roman"/>
        <w:b/>
        <w:bCs/>
      </w:rPr>
      <w:fldChar w:fldCharType="separate"/>
    </w:r>
    <w:r w:rsidR="00A50AD8">
      <w:rPr>
        <w:rFonts w:ascii="Times New Roman" w:hAnsi="Times New Roman" w:cs="Times New Roman"/>
        <w:b/>
        <w:bCs/>
        <w:noProof/>
      </w:rPr>
      <w:t>1</w:t>
    </w:r>
    <w:r w:rsidR="00063795" w:rsidRPr="00B9300D">
      <w:rPr>
        <w:rFonts w:ascii="Times New Roman" w:hAnsi="Times New Roman" w:cs="Times New Roman"/>
        <w:b/>
        <w:bCs/>
      </w:rPr>
      <w:fldChar w:fldCharType="end"/>
    </w:r>
    <w:r w:rsidR="00063795" w:rsidRPr="00B9300D">
      <w:rPr>
        <w:rFonts w:ascii="Times New Roman" w:hAnsi="Times New Roman" w:cs="Times New Roman"/>
      </w:rPr>
      <w:t xml:space="preserve"> of </w:t>
    </w:r>
    <w:r w:rsidR="00063795" w:rsidRPr="00B9300D">
      <w:rPr>
        <w:rFonts w:ascii="Times New Roman" w:hAnsi="Times New Roman" w:cs="Times New Roman"/>
        <w:b/>
        <w:bCs/>
      </w:rPr>
      <w:fldChar w:fldCharType="begin"/>
    </w:r>
    <w:r w:rsidR="00063795" w:rsidRPr="00B9300D">
      <w:rPr>
        <w:rFonts w:ascii="Times New Roman" w:hAnsi="Times New Roman" w:cs="Times New Roman"/>
        <w:b/>
        <w:bCs/>
      </w:rPr>
      <w:instrText xml:space="preserve"> NUMPAGES  \* Arabic  \* MERGEFORMAT </w:instrText>
    </w:r>
    <w:r w:rsidR="00063795" w:rsidRPr="00B9300D">
      <w:rPr>
        <w:rFonts w:ascii="Times New Roman" w:hAnsi="Times New Roman" w:cs="Times New Roman"/>
        <w:b/>
        <w:bCs/>
      </w:rPr>
      <w:fldChar w:fldCharType="separate"/>
    </w:r>
    <w:r w:rsidR="00A50AD8">
      <w:rPr>
        <w:rFonts w:ascii="Times New Roman" w:hAnsi="Times New Roman" w:cs="Times New Roman"/>
        <w:b/>
        <w:bCs/>
        <w:noProof/>
      </w:rPr>
      <w:t>35</w:t>
    </w:r>
    <w:r w:rsidR="00063795"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0C48" w14:textId="77777777" w:rsidR="0068150E" w:rsidRDefault="0068150E" w:rsidP="00D50789">
      <w:pPr>
        <w:spacing w:after="0" w:line="240" w:lineRule="auto"/>
      </w:pPr>
      <w:r>
        <w:separator/>
      </w:r>
    </w:p>
  </w:footnote>
  <w:footnote w:type="continuationSeparator" w:id="0">
    <w:p w14:paraId="6F1C6C23" w14:textId="77777777" w:rsidR="0068150E" w:rsidRDefault="0068150E"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73BF0310" w:rsidR="00063795" w:rsidRDefault="00063795">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6E608786" w:rsidR="00063795" w:rsidRDefault="002E647C">
    <w:pPr>
      <w:pStyle w:val="Header"/>
    </w:pPr>
    <w:r>
      <w:rPr>
        <w:noProof/>
      </w:rPr>
      <w:drawing>
        <wp:inline distT="0" distB="0" distL="0" distR="0" wp14:anchorId="211BFEB5" wp14:editId="1BBF6737">
          <wp:extent cx="5358765" cy="621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6pt;height:7.6pt" o:bullet="t">
        <v:imagedata r:id="rId1" o:title="MCBD21398_0000[1]"/>
      </v:shape>
    </w:pict>
  </w:numPicBullet>
  <w:numPicBullet w:numPicBulletId="1">
    <w:pict>
      <v:shape id="_x0000_i1063" type="#_x0000_t75" style="width:8.85pt;height:8.85pt" o:bullet="t">
        <v:imagedata r:id="rId2" o:title="MCBD21329_0000[1]"/>
      </v:shape>
    </w:pict>
  </w:numPicBullet>
  <w:numPicBullet w:numPicBulletId="2">
    <w:pict>
      <v:shape id="_x0000_i1064" type="#_x0000_t75" style="width:6.3pt;height:6.3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22809"/>
    <w:multiLevelType w:val="hybridMultilevel"/>
    <w:tmpl w:val="A7944B32"/>
    <w:lvl w:ilvl="0" w:tplc="DD802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7D0FFF"/>
    <w:multiLevelType w:val="hybridMultilevel"/>
    <w:tmpl w:val="C896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60B1E"/>
    <w:multiLevelType w:val="hybridMultilevel"/>
    <w:tmpl w:val="C276B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02F9C"/>
    <w:multiLevelType w:val="multilevel"/>
    <w:tmpl w:val="5A4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C098F"/>
    <w:multiLevelType w:val="hybridMultilevel"/>
    <w:tmpl w:val="B0D44E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36D61"/>
    <w:multiLevelType w:val="hybridMultilevel"/>
    <w:tmpl w:val="D3A2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20"/>
  </w:num>
  <w:num w:numId="5">
    <w:abstractNumId w:val="3"/>
  </w:num>
  <w:num w:numId="6">
    <w:abstractNumId w:val="4"/>
  </w:num>
  <w:num w:numId="7">
    <w:abstractNumId w:val="19"/>
  </w:num>
  <w:num w:numId="8">
    <w:abstractNumId w:val="10"/>
  </w:num>
  <w:num w:numId="9">
    <w:abstractNumId w:val="28"/>
  </w:num>
  <w:num w:numId="10">
    <w:abstractNumId w:val="25"/>
  </w:num>
  <w:num w:numId="11">
    <w:abstractNumId w:val="12"/>
  </w:num>
  <w:num w:numId="12">
    <w:abstractNumId w:val="2"/>
  </w:num>
  <w:num w:numId="13">
    <w:abstractNumId w:val="24"/>
  </w:num>
  <w:num w:numId="14">
    <w:abstractNumId w:val="16"/>
  </w:num>
  <w:num w:numId="15">
    <w:abstractNumId w:val="1"/>
  </w:num>
  <w:num w:numId="16">
    <w:abstractNumId w:val="18"/>
  </w:num>
  <w:num w:numId="17">
    <w:abstractNumId w:val="8"/>
  </w:num>
  <w:num w:numId="18">
    <w:abstractNumId w:val="11"/>
  </w:num>
  <w:num w:numId="19">
    <w:abstractNumId w:val="9"/>
  </w:num>
  <w:num w:numId="20">
    <w:abstractNumId w:val="15"/>
  </w:num>
  <w:num w:numId="21">
    <w:abstractNumId w:val="6"/>
  </w:num>
  <w:num w:numId="22">
    <w:abstractNumId w:val="26"/>
  </w:num>
  <w:num w:numId="23">
    <w:abstractNumId w:val="13"/>
  </w:num>
  <w:num w:numId="24">
    <w:abstractNumId w:val="7"/>
  </w:num>
  <w:num w:numId="25">
    <w:abstractNumId w:val="14"/>
  </w:num>
  <w:num w:numId="26">
    <w:abstractNumId w:val="27"/>
  </w:num>
  <w:num w:numId="27">
    <w:abstractNumId w:val="21"/>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63795"/>
    <w:rsid w:val="000C6A36"/>
    <w:rsid w:val="000C72C1"/>
    <w:rsid w:val="000F74DF"/>
    <w:rsid w:val="001021B7"/>
    <w:rsid w:val="00124137"/>
    <w:rsid w:val="001D3EAB"/>
    <w:rsid w:val="001F4B89"/>
    <w:rsid w:val="0022002E"/>
    <w:rsid w:val="00233608"/>
    <w:rsid w:val="00292049"/>
    <w:rsid w:val="00295652"/>
    <w:rsid w:val="002A0843"/>
    <w:rsid w:val="002D4DA2"/>
    <w:rsid w:val="002E28D4"/>
    <w:rsid w:val="002E647C"/>
    <w:rsid w:val="003027F7"/>
    <w:rsid w:val="00331553"/>
    <w:rsid w:val="003B26AE"/>
    <w:rsid w:val="003C3E88"/>
    <w:rsid w:val="003D1088"/>
    <w:rsid w:val="004424B2"/>
    <w:rsid w:val="00464ACE"/>
    <w:rsid w:val="00497B3C"/>
    <w:rsid w:val="004B52C7"/>
    <w:rsid w:val="00522BC1"/>
    <w:rsid w:val="00545F10"/>
    <w:rsid w:val="005520A5"/>
    <w:rsid w:val="005A1EB6"/>
    <w:rsid w:val="00662C63"/>
    <w:rsid w:val="00675934"/>
    <w:rsid w:val="0068150E"/>
    <w:rsid w:val="006F4B9D"/>
    <w:rsid w:val="007C630E"/>
    <w:rsid w:val="007D3B8A"/>
    <w:rsid w:val="007D4D72"/>
    <w:rsid w:val="0088469D"/>
    <w:rsid w:val="00894E38"/>
    <w:rsid w:val="008D0334"/>
    <w:rsid w:val="008D0B0D"/>
    <w:rsid w:val="008E4107"/>
    <w:rsid w:val="0090035E"/>
    <w:rsid w:val="00903C13"/>
    <w:rsid w:val="00917467"/>
    <w:rsid w:val="0094348C"/>
    <w:rsid w:val="00971AF4"/>
    <w:rsid w:val="009F3087"/>
    <w:rsid w:val="00A45949"/>
    <w:rsid w:val="00A50AD8"/>
    <w:rsid w:val="00A7177B"/>
    <w:rsid w:val="00AA7148"/>
    <w:rsid w:val="00B130CA"/>
    <w:rsid w:val="00B55DC4"/>
    <w:rsid w:val="00B629DA"/>
    <w:rsid w:val="00B74BC7"/>
    <w:rsid w:val="00B771C6"/>
    <w:rsid w:val="00B9300D"/>
    <w:rsid w:val="00BD4650"/>
    <w:rsid w:val="00BE30E3"/>
    <w:rsid w:val="00C05231"/>
    <w:rsid w:val="00C23DFB"/>
    <w:rsid w:val="00C64462"/>
    <w:rsid w:val="00C75497"/>
    <w:rsid w:val="00CC1094"/>
    <w:rsid w:val="00CF6DD3"/>
    <w:rsid w:val="00D50789"/>
    <w:rsid w:val="00D67081"/>
    <w:rsid w:val="00DD6364"/>
    <w:rsid w:val="00DE7F01"/>
    <w:rsid w:val="00EC1FBF"/>
    <w:rsid w:val="00EC4270"/>
    <w:rsid w:val="00EE2F8D"/>
    <w:rsid w:val="00F0607C"/>
    <w:rsid w:val="00F360A7"/>
    <w:rsid w:val="00F70E4C"/>
    <w:rsid w:val="00F81B37"/>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2E647C"/>
    <w:pPr>
      <w:keepLines w:val="0"/>
      <w:numPr>
        <w:numId w:val="21"/>
      </w:numPr>
      <w:spacing w:before="220" w:after="220" w:line="240" w:lineRule="auto"/>
      <w:outlineLvl w:val="0"/>
    </w:pPr>
    <w:rPr>
      <w:rFonts w:ascii="Arial" w:eastAsia="Times New Roman" w:hAnsi="Arial" w:cs="Times New Roman"/>
      <w:b/>
      <w:bCs/>
      <w:smallCaps/>
      <w:color w:val="C00000"/>
      <w:sz w:val="22"/>
      <w:szCs w:val="24"/>
    </w:rPr>
  </w:style>
  <w:style w:type="paragraph" w:styleId="Heading5">
    <w:name w:val="heading 5"/>
    <w:basedOn w:val="Normal"/>
    <w:next w:val="Normal"/>
    <w:link w:val="Heading5Char"/>
    <w:uiPriority w:val="9"/>
    <w:semiHidden/>
    <w:unhideWhenUsed/>
    <w:qFormat/>
    <w:rsid w:val="002E647C"/>
    <w:pPr>
      <w:keepNext/>
      <w:keepLines/>
      <w:spacing w:before="200" w:after="0" w:line="276" w:lineRule="auto"/>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E64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5Char">
    <w:name w:val="Heading 5 Char"/>
    <w:basedOn w:val="DefaultParagraphFont"/>
    <w:link w:val="Heading5"/>
    <w:uiPriority w:val="9"/>
    <w:semiHidden/>
    <w:rsid w:val="002E647C"/>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qFormat/>
    <w:rsid w:val="002E647C"/>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2E647C"/>
    <w:rPr>
      <w:rFonts w:ascii="Arial" w:eastAsia="Times New Roman" w:hAnsi="Arial" w:cs="Times New Roman"/>
      <w:sz w:val="20"/>
      <w:szCs w:val="24"/>
    </w:rPr>
  </w:style>
  <w:style w:type="paragraph" w:customStyle="1" w:styleId="Level3">
    <w:name w:val="Level 3"/>
    <w:basedOn w:val="ListParagraph"/>
    <w:qFormat/>
    <w:rsid w:val="002E647C"/>
    <w:pPr>
      <w:numPr>
        <w:numId w:val="12"/>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2E647C"/>
    <w:pPr>
      <w:keepLines w:val="0"/>
      <w:numPr>
        <w:ilvl w:val="2"/>
        <w:numId w:val="11"/>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2E647C"/>
    <w:pPr>
      <w:keepLines w:val="0"/>
      <w:numPr>
        <w:numId w:val="11"/>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character" w:customStyle="1" w:styleId="Heading1Char">
    <w:name w:val="Heading 1 Char"/>
    <w:basedOn w:val="DefaultParagraphFont"/>
    <w:link w:val="Heading1"/>
    <w:rsid w:val="002E647C"/>
    <w:rPr>
      <w:rFonts w:ascii="Arial" w:eastAsia="Times New Roman" w:hAnsi="Arial" w:cs="Times New Roman"/>
      <w:b/>
      <w:bCs/>
      <w:smallCaps/>
      <w:color w:val="C00000"/>
      <w:szCs w:val="24"/>
    </w:rPr>
  </w:style>
  <w:style w:type="character" w:customStyle="1" w:styleId="Heading8Char">
    <w:name w:val="Heading 8 Char"/>
    <w:basedOn w:val="DefaultParagraphFont"/>
    <w:link w:val="Heading8"/>
    <w:uiPriority w:val="9"/>
    <w:semiHidden/>
    <w:rsid w:val="002E647C"/>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3D1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g"/><Relationship Id="rId21" Type="http://schemas.openxmlformats.org/officeDocument/2006/relationships/hyperlink" Target="https://www.rwjf.org/en/library/research/2019/12/life-experiences-and-income-inequality-in-the-united-states.html" TargetMode="External"/><Relationship Id="rId42" Type="http://schemas.openxmlformats.org/officeDocument/2006/relationships/hyperlink" Target="http://www.cssp.org/" TargetMode="External"/><Relationship Id="rId47" Type="http://schemas.openxmlformats.org/officeDocument/2006/relationships/hyperlink" Target="http://www.cato.org/" TargetMode="External"/><Relationship Id="rId63" Type="http://schemas.openxmlformats.org/officeDocument/2006/relationships/hyperlink" Target="https://www.cdc.gov/" TargetMode="External"/><Relationship Id="rId68" Type="http://schemas.openxmlformats.org/officeDocument/2006/relationships/hyperlink" Target="https://www.samhsa.gov/" TargetMode="External"/><Relationship Id="rId84" Type="http://schemas.openxmlformats.org/officeDocument/2006/relationships/hyperlink" Target="https://dsp.usc.edu/" TargetMode="External"/><Relationship Id="rId89" Type="http://schemas.openxmlformats.org/officeDocument/2006/relationships/header" Target="header1.xml"/><Relationship Id="rId16" Type="http://schemas.openxmlformats.org/officeDocument/2006/relationships/hyperlink" Target="https://www.theatlantic.com/business/archive/2016/04/social-security/476331/" TargetMode="External"/><Relationship Id="rId11" Type="http://schemas.openxmlformats.org/officeDocument/2006/relationships/hyperlink" Target="https://ce.naco.org/?dset=Gross%20Domestic%20Product%20(GDP)&amp;ind=Gross%20Domestic%20Product" TargetMode="External"/><Relationship Id="rId32" Type="http://schemas.openxmlformats.org/officeDocument/2006/relationships/hyperlink" Target="http://www.cbpp.org/" TargetMode="External"/><Relationship Id="rId37" Type="http://schemas.openxmlformats.org/officeDocument/2006/relationships/hyperlink" Target="http://www.brookings.edu/" TargetMode="External"/><Relationship Id="rId53" Type="http://schemas.openxmlformats.org/officeDocument/2006/relationships/hyperlink" Target="http://www.drugpolicy.org/" TargetMode="External"/><Relationship Id="rId58" Type="http://schemas.openxmlformats.org/officeDocument/2006/relationships/hyperlink" Target="https://www.rand.org/" TargetMode="External"/><Relationship Id="rId74" Type="http://schemas.openxmlformats.org/officeDocument/2006/relationships/hyperlink" Target="https://www.cswe.org/getattachment/Accreditation/Accreditation-Process/2015-EPAS/2015EPAS_Web_FINAL.pdf.aspx" TargetMode="External"/><Relationship Id="rId79" Type="http://schemas.openxmlformats.org/officeDocument/2006/relationships/hyperlink" Target="https://studenthealth.usc.edu/counseling/" TargetMode="External"/><Relationship Id="rId5" Type="http://schemas.openxmlformats.org/officeDocument/2006/relationships/styles" Target="styles.xml"/><Relationship Id="rId90" Type="http://schemas.openxmlformats.org/officeDocument/2006/relationships/footer" Target="footer1.xml"/><Relationship Id="rId22" Type="http://schemas.openxmlformats.org/officeDocument/2006/relationships/hyperlink" Target="https://journals.openedition.org/ejas/14335" TargetMode="External"/><Relationship Id="rId27" Type="http://schemas.openxmlformats.org/officeDocument/2006/relationships/image" Target="media/image6.jpg"/><Relationship Id="rId43" Type="http://schemas.openxmlformats.org/officeDocument/2006/relationships/hyperlink" Target="http://www.clasp.org/" TargetMode="External"/><Relationship Id="rId48" Type="http://schemas.openxmlformats.org/officeDocument/2006/relationships/hyperlink" Target="http://www.jointcenter.org/" TargetMode="External"/><Relationship Id="rId64" Type="http://schemas.openxmlformats.org/officeDocument/2006/relationships/hyperlink" Target="https://www.americanbar.org/" TargetMode="External"/><Relationship Id="rId69" Type="http://schemas.openxmlformats.org/officeDocument/2006/relationships/hyperlink" Target="https://www.aarp.org/" TargetMode="External"/><Relationship Id="rId8" Type="http://schemas.openxmlformats.org/officeDocument/2006/relationships/footnotes" Target="footnotes.xml"/><Relationship Id="rId51" Type="http://schemas.openxmlformats.org/officeDocument/2006/relationships/hyperlink" Target="http://ineteconomics.org/" TargetMode="External"/><Relationship Id="rId72" Type="http://schemas.openxmlformats.org/officeDocument/2006/relationships/hyperlink" Target="https://www.gao.gov/" TargetMode="External"/><Relationship Id="rId80" Type="http://schemas.openxmlformats.org/officeDocument/2006/relationships/hyperlink" Target="https://suicidepreventionlifeline.org/" TargetMode="External"/><Relationship Id="rId85" Type="http://schemas.openxmlformats.org/officeDocument/2006/relationships/hyperlink" Target="https://campussupport.usc.edu/"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ocialexplorer.com/" TargetMode="External"/><Relationship Id="rId17" Type="http://schemas.openxmlformats.org/officeDocument/2006/relationships/hyperlink" Target="https://doi.org/10.1080/19371918.2019.1616028" TargetMode="External"/><Relationship Id="rId25" Type="http://schemas.openxmlformats.org/officeDocument/2006/relationships/image" Target="media/image4.jpg"/><Relationship Id="rId33" Type="http://schemas.openxmlformats.org/officeDocument/2006/relationships/hyperlink" Target="http://www.cepr.net/" TargetMode="External"/><Relationship Id="rId38" Type="http://schemas.openxmlformats.org/officeDocument/2006/relationships/hyperlink" Target="http://www.mdrc.org/" TargetMode="External"/><Relationship Id="rId46" Type="http://schemas.openxmlformats.org/officeDocument/2006/relationships/hyperlink" Target="http://www.heritage.org/" TargetMode="External"/><Relationship Id="rId59" Type="http://schemas.openxmlformats.org/officeDocument/2006/relationships/hyperlink" Target="https://www.ed.gov/" TargetMode="External"/><Relationship Id="rId67" Type="http://schemas.openxmlformats.org/officeDocument/2006/relationships/hyperlink" Target="https://www.nih.gov/" TargetMode="External"/><Relationship Id="rId20" Type="http://schemas.openxmlformats.org/officeDocument/2006/relationships/hyperlink" Target="https://www.commonwealthfund.org/international-health-policy-center/countries/united-states" TargetMode="External"/><Relationship Id="rId41" Type="http://schemas.openxmlformats.org/officeDocument/2006/relationships/hyperlink" Target="http://npc.umich.edu/" TargetMode="External"/><Relationship Id="rId54" Type="http://schemas.openxmlformats.org/officeDocument/2006/relationships/hyperlink" Target="http://www.sentencingproject.org/template/index.cfm" TargetMode="External"/><Relationship Id="rId62" Type="http://schemas.openxmlformats.org/officeDocument/2006/relationships/hyperlink" Target="https://www.who.int/" TargetMode="External"/><Relationship Id="rId70" Type="http://schemas.openxmlformats.org/officeDocument/2006/relationships/hyperlink" Target="https://www.embracerace.org/" TargetMode="External"/><Relationship Id="rId75" Type="http://schemas.openxmlformats.org/officeDocument/2006/relationships/hyperlink" Target="https://grandchallengesforsocialwork.org/" TargetMode="External"/><Relationship Id="rId83" Type="http://schemas.openxmlformats.org/officeDocument/2006/relationships/hyperlink" Target="https://usc-advocate.symplicity.com/care_report/index.php/pid422659" TargetMode="External"/><Relationship Id="rId88" Type="http://schemas.openxmlformats.org/officeDocument/2006/relationships/hyperlink" Target="https://dps.usc.edu/"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aVQ7PIl3IDE" TargetMode="External"/><Relationship Id="rId23" Type="http://schemas.openxmlformats.org/officeDocument/2006/relationships/hyperlink" Target="https://www.nytimes.com/interactive/2020/04/13/t-magazine/act-up-aids.html" TargetMode="External"/><Relationship Id="rId28" Type="http://schemas.openxmlformats.org/officeDocument/2006/relationships/image" Target="media/image7.jpg"/><Relationship Id="rId36" Type="http://schemas.openxmlformats.org/officeDocument/2006/relationships/hyperlink" Target="http://www.americanprogress.org/" TargetMode="External"/><Relationship Id="rId49" Type="http://schemas.openxmlformats.org/officeDocument/2006/relationships/hyperlink" Target="http://crfb.org/" TargetMode="External"/><Relationship Id="rId57" Type="http://schemas.openxmlformats.org/officeDocument/2006/relationships/hyperlink" Target="https://www.splcenter.org/" TargetMode="External"/><Relationship Id="rId10" Type="http://schemas.openxmlformats.org/officeDocument/2006/relationships/hyperlink" Target="mailto:gratwick@usc.edu" TargetMode="External"/><Relationship Id="rId31" Type="http://schemas.openxmlformats.org/officeDocument/2006/relationships/hyperlink" Target="http://www.epi.org/" TargetMode="External"/><Relationship Id="rId44" Type="http://schemas.openxmlformats.org/officeDocument/2006/relationships/hyperlink" Target="http://www.stanford.edu/group/scspi/" TargetMode="External"/><Relationship Id="rId52" Type="http://schemas.openxmlformats.org/officeDocument/2006/relationships/hyperlink" Target="http://www.vera.org/" TargetMode="External"/><Relationship Id="rId60" Type="http://schemas.openxmlformats.org/officeDocument/2006/relationships/hyperlink" Target="https://www.crispinc.org/" TargetMode="External"/><Relationship Id="rId65" Type="http://schemas.openxmlformats.org/officeDocument/2006/relationships/hyperlink" Target="https://worklifelaw.org/" TargetMode="External"/><Relationship Id="rId73" Type="http://schemas.openxmlformats.org/officeDocument/2006/relationships/hyperlink" Target="https://www.socialworkers.org/About/Ethics/Code-of-Ethics/Code-of-Ethics-English" TargetMode="External"/><Relationship Id="rId78" Type="http://schemas.openxmlformats.org/officeDocument/2006/relationships/hyperlink" Target="https://www.socialworkers.org/About/Ethics/Code-of-Ethics/Code-of-Ethics-English" TargetMode="External"/><Relationship Id="rId81" Type="http://schemas.openxmlformats.org/officeDocument/2006/relationships/hyperlink" Target="https://studenthealth.usc.edu/sexual-assault/" TargetMode="External"/><Relationship Id="rId86" Type="http://schemas.openxmlformats.org/officeDocument/2006/relationships/hyperlink" Target="https://diversity.usc.edu/"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theopedproject.org/" TargetMode="External"/><Relationship Id="rId18" Type="http://schemas.openxmlformats.org/officeDocument/2006/relationships/hyperlink" Target="https://www.nami.org/Support-Education/Publications-Reports/Public-Policy-Reports/Divert-to-What-Community-Services-that-Enhance-Diversion/DiverttoWhat.pdf" TargetMode="External"/><Relationship Id="rId39" Type="http://schemas.openxmlformats.org/officeDocument/2006/relationships/hyperlink" Target="http://www.urban.org/" TargetMode="External"/><Relationship Id="rId34" Type="http://schemas.openxmlformats.org/officeDocument/2006/relationships/hyperlink" Target="http://www.socialprogressimperative.org/" TargetMode="External"/><Relationship Id="rId50" Type="http://schemas.openxmlformats.org/officeDocument/2006/relationships/hyperlink" Target="http://www.ourfuture.org/" TargetMode="External"/><Relationship Id="rId55" Type="http://schemas.openxmlformats.org/officeDocument/2006/relationships/hyperlink" Target="http://www.justicepolicy.org/index.html" TargetMode="External"/><Relationship Id="rId76" Type="http://schemas.openxmlformats.org/officeDocument/2006/relationships/hyperlink" Target="https://policy.usc.edu/scampus/" TargetMode="External"/><Relationship Id="rId7" Type="http://schemas.openxmlformats.org/officeDocument/2006/relationships/webSettings" Target="webSettings.xml"/><Relationship Id="rId71" Type="http://schemas.openxmlformats.org/officeDocument/2006/relationships/hyperlink" Target="https://antiracismdaily.com/"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8.jpg"/><Relationship Id="rId24" Type="http://schemas.openxmlformats.org/officeDocument/2006/relationships/hyperlink" Target="https://www.newyorker.com/magazine/2009/05/11/how-david-beats-goliath" TargetMode="External"/><Relationship Id="rId40" Type="http://schemas.openxmlformats.org/officeDocument/2006/relationships/hyperlink" Target="http://www.irp.wisc.edu/index.htm" TargetMode="External"/><Relationship Id="rId45" Type="http://schemas.openxmlformats.org/officeDocument/2006/relationships/hyperlink" Target="http://inequality.org/" TargetMode="External"/><Relationship Id="rId66" Type="http://schemas.openxmlformats.org/officeDocument/2006/relationships/hyperlink" Target="https://socialworkmanager.org/" TargetMode="External"/><Relationship Id="rId87" Type="http://schemas.openxmlformats.org/officeDocument/2006/relationships/hyperlink" Target="https://dps.usc.edu/" TargetMode="External"/><Relationship Id="rId61" Type="http://schemas.openxmlformats.org/officeDocument/2006/relationships/hyperlink" Target="https://www.greenpeace.org/international/" TargetMode="External"/><Relationship Id="rId82" Type="http://schemas.openxmlformats.org/officeDocument/2006/relationships/hyperlink" Target="https://eeotix.usc.edu/" TargetMode="External"/><Relationship Id="rId19" Type="http://schemas.openxmlformats.org/officeDocument/2006/relationships/hyperlink" Target="https://doi.org/10.1093/qjmed/hcw187" TargetMode="External"/><Relationship Id="rId14" Type="http://schemas.openxmlformats.org/officeDocument/2006/relationships/hyperlink" Target="https://www.naswca.org/page/7" TargetMode="External"/><Relationship Id="rId30" Type="http://schemas.openxmlformats.org/officeDocument/2006/relationships/image" Target="media/image9.jpg"/><Relationship Id="rId35" Type="http://schemas.openxmlformats.org/officeDocument/2006/relationships/hyperlink" Target="http://www.irp.wisc.edu/index.htm" TargetMode="External"/><Relationship Id="rId56" Type="http://schemas.openxmlformats.org/officeDocument/2006/relationships/hyperlink" Target="http://www.brennancenter.org/" TargetMode="External"/><Relationship Id="rId77" Type="http://schemas.openxmlformats.org/officeDocument/2006/relationships/hyperlink" Target="https://dworakpeck.usc.edu/student-life/student-resour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10567</Words>
  <Characters>60235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Steve Gratwick</cp:lastModifiedBy>
  <cp:revision>3</cp:revision>
  <dcterms:created xsi:type="dcterms:W3CDTF">2021-08-18T23:09:00Z</dcterms:created>
  <dcterms:modified xsi:type="dcterms:W3CDTF">2021-08-18T23:10:00Z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