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" w:tblpY="-824"/>
        <w:tblW w:w="12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0"/>
      </w:tblGrid>
      <w:tr w:rsidR="007F75E7" w:rsidRPr="00D1655E" w14:paraId="1DEF6CBD" w14:textId="77777777" w:rsidTr="004A0275">
        <w:trPr>
          <w:trHeight w:val="28"/>
        </w:trPr>
        <w:tc>
          <w:tcPr>
            <w:tcW w:w="1225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C4E5"/>
            <w:vAlign w:val="center"/>
            <w:hideMark/>
          </w:tcPr>
          <w:p w14:paraId="417BAAE6" w14:textId="77777777" w:rsidR="007F75E7" w:rsidRDefault="007F75E7" w:rsidP="007F75E7">
            <w:pPr>
              <w:shd w:val="clear" w:color="auto" w:fill="B4C6E7" w:themeFill="accent1" w:themeFillTint="66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40581B09" w14:textId="5B8ED9A2" w:rsidR="007F75E7" w:rsidRPr="003E6011" w:rsidRDefault="007F75E7" w:rsidP="003E6011">
            <w:pPr>
              <w:shd w:val="clear" w:color="auto" w:fill="B4C6E7" w:themeFill="accent1" w:themeFillTint="66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 w:rsidRPr="00D1655E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ROSKI CRIT 44</w:t>
            </w:r>
            <w:r w:rsidR="003E6011" w:rsidRPr="003E6011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 xml:space="preserve">0 </w:t>
            </w:r>
            <w:r w:rsidRPr="00D1655E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 xml:space="preserve">– </w:t>
            </w:r>
            <w:r w:rsidRPr="003E6011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CURATORIAL ISSUES (4 units)</w:t>
            </w:r>
          </w:p>
          <w:p w14:paraId="0F120E2D" w14:textId="77777777" w:rsidR="007F75E7" w:rsidRPr="00C86977" w:rsidRDefault="007F75E7" w:rsidP="003E6011">
            <w:pPr>
              <w:shd w:val="clear" w:color="auto" w:fill="B4C6E7" w:themeFill="accent1" w:themeFillTint="66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C8697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Curating Contemporary Performance: from Actions to Activism</w:t>
            </w:r>
          </w:p>
          <w:p w14:paraId="533F96CB" w14:textId="52599C1F" w:rsidR="007F75E7" w:rsidRPr="003E6011" w:rsidRDefault="007F75E7" w:rsidP="003E6011">
            <w:pPr>
              <w:shd w:val="clear" w:color="auto" w:fill="B4C6E7" w:themeFill="accent1" w:themeFillTint="66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3E601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Fall 2021</w:t>
            </w:r>
            <w:r w:rsidR="003E601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                 </w:t>
            </w:r>
            <w:r w:rsidRPr="003E601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 Monday, 3 – 6:20 pm</w:t>
            </w:r>
            <w:r w:rsidR="00C86977" w:rsidRPr="003E6011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           </w:t>
            </w:r>
            <w:r w:rsidRPr="00D1655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Dr. Karen Moss</w:t>
            </w:r>
          </w:p>
          <w:p w14:paraId="6BB7C311" w14:textId="77777777" w:rsidR="00C86977" w:rsidRPr="003E6011" w:rsidRDefault="00C86977" w:rsidP="003E6011">
            <w:pPr>
              <w:shd w:val="clear" w:color="auto" w:fill="B4C6E7" w:themeFill="accent1" w:themeFillTint="66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  <w:p w14:paraId="4988BE0A" w14:textId="77777777" w:rsidR="007F75E7" w:rsidRPr="00D1655E" w:rsidRDefault="007F75E7" w:rsidP="007F75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5E7" w:rsidRPr="00D1655E" w14:paraId="0A067678" w14:textId="77777777" w:rsidTr="004A0275">
        <w:trPr>
          <w:trHeight w:val="100"/>
        </w:trPr>
        <w:tc>
          <w:tcPr>
            <w:tcW w:w="1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DDB2"/>
            <w:vAlign w:val="center"/>
            <w:hideMark/>
          </w:tcPr>
          <w:p w14:paraId="19590F8F" w14:textId="77803E2F" w:rsidR="004A0275" w:rsidRPr="004A0275" w:rsidRDefault="007F75E7" w:rsidP="004A0275">
            <w:pPr>
              <w:shd w:val="clear" w:color="auto" w:fill="C5E0B3" w:themeFill="accent6" w:themeFillTint="66"/>
              <w:spacing w:line="276" w:lineRule="auto"/>
              <w:ind w:left="345"/>
              <w:rPr>
                <w:rFonts w:ascii="Calibri" w:hAnsi="Calibri" w:cs="Calibri"/>
                <w:sz w:val="26"/>
                <w:szCs w:val="26"/>
              </w:rPr>
            </w:pPr>
            <w:r w:rsidRPr="004A0275">
              <w:rPr>
                <w:rFonts w:ascii="Calibri" w:hAnsi="Calibri" w:cs="Calibri"/>
                <w:sz w:val="26"/>
                <w:szCs w:val="26"/>
              </w:rPr>
              <w:t xml:space="preserve">This course focuses on curating contemporary performance from actions, happenings and Fluxus events of the 1960s to </w:t>
            </w:r>
            <w:r w:rsidR="00C86977" w:rsidRPr="004A0275">
              <w:rPr>
                <w:rFonts w:ascii="Calibri" w:hAnsi="Calibri" w:cs="Calibri"/>
                <w:sz w:val="26"/>
                <w:szCs w:val="26"/>
              </w:rPr>
              <w:t xml:space="preserve">recent 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socially engaged art, protests and activism.  </w:t>
            </w:r>
            <w:r w:rsidR="00C86977" w:rsidRPr="004A0275">
              <w:rPr>
                <w:rFonts w:ascii="Calibri" w:hAnsi="Calibri" w:cs="Calibri"/>
                <w:sz w:val="26"/>
                <w:szCs w:val="26"/>
              </w:rPr>
              <w:t>W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e will delve deeply into case studies of a diverse range of </w:t>
            </w:r>
            <w:r w:rsidRPr="004A0275">
              <w:rPr>
                <w:rFonts w:ascii="Calibri" w:eastAsia="Times New Roman" w:hAnsi="Calibri" w:cs="Calibri"/>
                <w:sz w:val="26"/>
                <w:szCs w:val="26"/>
              </w:rPr>
              <w:t xml:space="preserve">performances in 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traditional </w:t>
            </w:r>
            <w:r w:rsidRPr="004A0275">
              <w:rPr>
                <w:rFonts w:ascii="Calibri" w:eastAsia="Times New Roman" w:hAnsi="Calibri" w:cs="Calibri"/>
                <w:sz w:val="26"/>
                <w:szCs w:val="26"/>
              </w:rPr>
              <w:t>galleries and museums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, experimental and </w:t>
            </w:r>
            <w:r w:rsidRPr="004A0275">
              <w:rPr>
                <w:rFonts w:ascii="Calibri" w:eastAsia="Times New Roman" w:hAnsi="Calibri" w:cs="Calibri"/>
                <w:sz w:val="26"/>
                <w:szCs w:val="26"/>
              </w:rPr>
              <w:t>artist-run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 spaces</w:t>
            </w:r>
            <w:r w:rsidRPr="004A0275">
              <w:rPr>
                <w:rFonts w:ascii="Calibri" w:eastAsia="Times New Roman" w:hAnsi="Calibri" w:cs="Calibri"/>
                <w:sz w:val="26"/>
                <w:szCs w:val="26"/>
              </w:rPr>
              <w:t xml:space="preserve">, 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festivals and biennials, and </w:t>
            </w:r>
            <w:r w:rsidRPr="004A0275">
              <w:rPr>
                <w:rFonts w:ascii="Calibri" w:eastAsia="Times New Roman" w:hAnsi="Calibri" w:cs="Calibri"/>
                <w:sz w:val="26"/>
                <w:szCs w:val="26"/>
              </w:rPr>
              <w:t>sites on screen, on-line and in the street.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 Including live events and exhibitions that document or re-present past programs, we will study how different curators collaborate with artists to conceptualize different frameworks to best present</w:t>
            </w:r>
            <w:r w:rsidR="004A0275" w:rsidRPr="004A027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4A0275">
              <w:rPr>
                <w:rFonts w:ascii="Calibri" w:hAnsi="Calibri" w:cs="Calibri"/>
                <w:sz w:val="26"/>
                <w:szCs w:val="26"/>
              </w:rPr>
              <w:t xml:space="preserve">and contextualize their </w:t>
            </w:r>
            <w:r w:rsidRPr="004A0275">
              <w:rPr>
                <w:rFonts w:ascii="Calibri" w:eastAsia="Times New Roman" w:hAnsi="Calibri" w:cs="Calibri"/>
                <w:sz w:val="26"/>
                <w:szCs w:val="26"/>
              </w:rPr>
              <w:t>performative</w:t>
            </w:r>
            <w:r w:rsidRPr="004A0275">
              <w:rPr>
                <w:rFonts w:ascii="Calibri" w:hAnsi="Calibri" w:cs="Calibri"/>
                <w:sz w:val="26"/>
                <w:szCs w:val="26"/>
              </w:rPr>
              <w:t>, ephemeral practices</w:t>
            </w:r>
            <w:r w:rsidR="00C86977" w:rsidRPr="004A0275">
              <w:rPr>
                <w:rFonts w:ascii="Calibri" w:hAnsi="Calibri" w:cs="Calibri"/>
                <w:sz w:val="26"/>
                <w:szCs w:val="26"/>
              </w:rPr>
              <w:t>.</w:t>
            </w:r>
          </w:p>
          <w:p w14:paraId="78FFD7CB" w14:textId="20859542" w:rsidR="007F75E7" w:rsidRPr="00D1655E" w:rsidRDefault="007F75E7" w:rsidP="004A0275">
            <w:pPr>
              <w:pStyle w:val="NormalWeb"/>
              <w:shd w:val="clear" w:color="auto" w:fill="C5E0B3" w:themeFill="accent6" w:themeFillTint="66"/>
              <w:ind w:left="345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75E7" w:rsidRPr="00D1655E" w14:paraId="2B6AAFEC" w14:textId="77777777" w:rsidTr="004A0275">
        <w:trPr>
          <w:trHeight w:val="8279"/>
        </w:trPr>
        <w:tc>
          <w:tcPr>
            <w:tcW w:w="1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C9AA"/>
            <w:vAlign w:val="center"/>
            <w:hideMark/>
          </w:tcPr>
          <w:p w14:paraId="34FB867A" w14:textId="77777777" w:rsidR="007F75E7" w:rsidRPr="00D1655E" w:rsidRDefault="007F75E7" w:rsidP="007F75E7">
            <w:pPr>
              <w:rPr>
                <w:rFonts w:ascii="Times New Roman" w:eastAsia="Times New Roman" w:hAnsi="Times New Roman" w:cs="Times New Roman"/>
              </w:rPr>
            </w:pPr>
          </w:p>
          <w:p w14:paraId="58B633A1" w14:textId="23E2E5E0" w:rsidR="007F75E7" w:rsidRDefault="007F75E7" w:rsidP="007F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51628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349835CA" wp14:editId="49480B40">
                  <wp:extent cx="2381250" cy="2343150"/>
                  <wp:effectExtent l="0" t="0" r="6350" b="6350"/>
                  <wp:docPr id="64514" name="Picture 4" descr="A group of people in a room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186A10-2C66-0C45-B7B0-8D4CCF54C9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4" name="Picture 4" descr="A group of people in a roo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07186A10-2C66-0C45-B7B0-8D4CCF54C9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ACF0A6F" wp14:editId="4542D56C">
                  <wp:extent cx="2590800" cy="2362200"/>
                  <wp:effectExtent l="0" t="0" r="0" b="0"/>
                  <wp:docPr id="17" name="Picture 17" descr="A picture containing wall,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wall, floor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519" cy="236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7313B02" wp14:editId="2EEB0C8E">
                  <wp:extent cx="2752725" cy="2343150"/>
                  <wp:effectExtent l="0" t="0" r="3175" b="6350"/>
                  <wp:docPr id="12" name="Picture 12" descr="A picture containing indoor, gallery, scene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indoor, gallery, scene, roo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6977">
              <w:rPr>
                <w:noProof/>
              </w:rPr>
              <w:drawing>
                <wp:inline distT="0" distB="0" distL="0" distR="0" wp14:anchorId="0CA7F97E" wp14:editId="68F4C150">
                  <wp:extent cx="2390775" cy="2352675"/>
                  <wp:effectExtent l="0" t="0" r="0" b="0"/>
                  <wp:docPr id="2" name="Picture 5" descr="andreafraser2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211766-645F-5D41-AC51-277837772E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andreafraser260">
                            <a:extLst>
                              <a:ext uri="{FF2B5EF4-FFF2-40B4-BE49-F238E27FC236}">
                                <a16:creationId xmlns:a16="http://schemas.microsoft.com/office/drawing/2014/main" id="{D8211766-645F-5D41-AC51-277837772E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229" cy="237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97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998C67" wp14:editId="327A292B">
                  <wp:extent cx="2585085" cy="2333625"/>
                  <wp:effectExtent l="0" t="0" r="5715" b="3175"/>
                  <wp:docPr id="18" name="Picture 18" descr="A picture containing floor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floor, spo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9044" cy="237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162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4BFA37" wp14:editId="26A49DA5">
                  <wp:extent cx="2752725" cy="2341880"/>
                  <wp:effectExtent l="0" t="0" r="3175" b="0"/>
                  <wp:docPr id="33794" name="Picture 4" descr="LAAG-sign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120E49-F3FA-4E41-84A5-0ED0D6D58C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4" descr="LAAG-sign2">
                            <a:extLst>
                              <a:ext uri="{FF2B5EF4-FFF2-40B4-BE49-F238E27FC236}">
                                <a16:creationId xmlns:a16="http://schemas.microsoft.com/office/drawing/2014/main" id="{57120E49-F3FA-4E41-84A5-0ED0D6D58C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038" cy="235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77B1B" w14:textId="77777777" w:rsidR="007F75E7" w:rsidRPr="00D1655E" w:rsidRDefault="007F75E7" w:rsidP="007F75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86977" w:rsidRPr="00D1655E" w14:paraId="38BBE7C4" w14:textId="77777777" w:rsidTr="004A0275">
        <w:trPr>
          <w:trHeight w:val="2019"/>
        </w:trPr>
        <w:tc>
          <w:tcPr>
            <w:tcW w:w="1225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4DDB2"/>
            <w:vAlign w:val="center"/>
            <w:hideMark/>
          </w:tcPr>
          <w:p w14:paraId="01065956" w14:textId="77777777" w:rsidR="004A0275" w:rsidRDefault="004A0275" w:rsidP="004A0275">
            <w:pP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5A6F3E4B" w14:textId="2A14F4F6" w:rsidR="00C86977" w:rsidRDefault="00C86977" w:rsidP="00C8697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D1655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 xml:space="preserve">Open to </w:t>
            </w:r>
            <w:proofErr w:type="spellStart"/>
            <w:r w:rsidRPr="00D1655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Roski</w:t>
            </w:r>
            <w:proofErr w:type="spellEnd"/>
            <w:r w:rsidRPr="00D1655E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 xml:space="preserve"> upper division undergrads and grads, other students by permission</w:t>
            </w:r>
          </w:p>
          <w:p w14:paraId="2D8EFA81" w14:textId="77777777" w:rsidR="00C86977" w:rsidRDefault="00C86977" w:rsidP="00C8697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3A5FB61C" w14:textId="551EF1E2" w:rsidR="00C86977" w:rsidRDefault="00C86977" w:rsidP="00C86977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1655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For more information, please contact Karen Moss</w:t>
            </w:r>
          </w:p>
          <w:p w14:paraId="1F324817" w14:textId="77777777" w:rsidR="00C86977" w:rsidRPr="00C86977" w:rsidRDefault="00C86977" w:rsidP="00C8697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599C3473" w14:textId="6B9DF528" w:rsidR="004A0275" w:rsidRDefault="00C86977" w:rsidP="004A0275">
            <w:pPr>
              <w:jc w:val="center"/>
              <w:rPr>
                <w:rFonts w:ascii="Calibri" w:eastAsia="Times New Roman" w:hAnsi="Calibri" w:cs="Calibri"/>
                <w:b/>
                <w:bCs/>
                <w:color w:val="0560BF"/>
                <w:sz w:val="28"/>
                <w:szCs w:val="28"/>
              </w:rPr>
            </w:pPr>
            <w:r w:rsidRPr="00D1655E">
              <w:rPr>
                <w:rFonts w:ascii="Calibri" w:eastAsia="Times New Roman" w:hAnsi="Calibri" w:cs="Calibri"/>
                <w:b/>
                <w:bCs/>
                <w:color w:val="0560BF"/>
                <w:sz w:val="28"/>
                <w:szCs w:val="28"/>
              </w:rPr>
              <w:t xml:space="preserve">moss@usc.edu </w:t>
            </w:r>
            <w:r w:rsidRPr="00D1655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&amp; </w:t>
            </w:r>
            <w:hyperlink r:id="rId10" w:history="1">
              <w:r w:rsidRPr="00D1655E">
                <w:rPr>
                  <w:rStyle w:val="Hyperlink"/>
                  <w:rFonts w:ascii="Calibri" w:eastAsia="Times New Roman" w:hAnsi="Calibri" w:cs="Calibri"/>
                  <w:b/>
                  <w:bCs/>
                  <w:sz w:val="28"/>
                  <w:szCs w:val="28"/>
                </w:rPr>
                <w:t>https://roski.usc.edu/community/faculty/karen-moss</w:t>
              </w:r>
            </w:hyperlink>
          </w:p>
          <w:p w14:paraId="25D2F339" w14:textId="77777777" w:rsidR="004A0275" w:rsidRDefault="004A0275" w:rsidP="004A0275">
            <w:pPr>
              <w:jc w:val="center"/>
              <w:rPr>
                <w:rFonts w:ascii="Calibri" w:eastAsia="Times New Roman" w:hAnsi="Calibri" w:cs="Calibri"/>
                <w:b/>
                <w:bCs/>
                <w:color w:val="0560BF"/>
                <w:sz w:val="28"/>
                <w:szCs w:val="28"/>
              </w:rPr>
            </w:pPr>
          </w:p>
          <w:p w14:paraId="6974CED2" w14:textId="77777777" w:rsidR="004A0275" w:rsidRDefault="004A0275" w:rsidP="004A0275">
            <w:pPr>
              <w:jc w:val="center"/>
              <w:rPr>
                <w:rFonts w:ascii="Calibri" w:eastAsia="Times New Roman" w:hAnsi="Calibri" w:cs="Calibri"/>
                <w:b/>
                <w:bCs/>
                <w:color w:val="0560BF"/>
                <w:sz w:val="28"/>
                <w:szCs w:val="28"/>
              </w:rPr>
            </w:pPr>
          </w:p>
          <w:p w14:paraId="41D23805" w14:textId="58950F32" w:rsidR="004A0275" w:rsidRPr="00D1655E" w:rsidRDefault="004A0275" w:rsidP="004A0275">
            <w:pPr>
              <w:jc w:val="center"/>
              <w:rPr>
                <w:rFonts w:ascii="Calibri" w:eastAsia="Times New Roman" w:hAnsi="Calibri" w:cs="Calibri"/>
                <w:b/>
                <w:bCs/>
                <w:color w:val="0560BF"/>
                <w:sz w:val="28"/>
                <w:szCs w:val="28"/>
              </w:rPr>
            </w:pPr>
          </w:p>
        </w:tc>
      </w:tr>
    </w:tbl>
    <w:p w14:paraId="226CBD27" w14:textId="77777777" w:rsidR="00AC1285" w:rsidRPr="00D1655E" w:rsidRDefault="00AC1285" w:rsidP="00D1655E"/>
    <w:sectPr w:rsidR="00AC1285" w:rsidRPr="00D1655E" w:rsidSect="00C86977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5E"/>
    <w:rsid w:val="0010662D"/>
    <w:rsid w:val="00301F66"/>
    <w:rsid w:val="003B0BD2"/>
    <w:rsid w:val="003E6011"/>
    <w:rsid w:val="003F3936"/>
    <w:rsid w:val="0047558A"/>
    <w:rsid w:val="004A0275"/>
    <w:rsid w:val="00575131"/>
    <w:rsid w:val="006B4EA3"/>
    <w:rsid w:val="007F75E7"/>
    <w:rsid w:val="00A405DF"/>
    <w:rsid w:val="00AC1285"/>
    <w:rsid w:val="00C72A96"/>
    <w:rsid w:val="00C86977"/>
    <w:rsid w:val="00CE4848"/>
    <w:rsid w:val="00D1655E"/>
    <w:rsid w:val="00D6187B"/>
    <w:rsid w:val="00E20B5A"/>
    <w:rsid w:val="00EE6317"/>
    <w:rsid w:val="00EF282D"/>
    <w:rsid w:val="00F51628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3FC9B"/>
  <w15:chartTrackingRefBased/>
  <w15:docId w15:val="{17A04163-15D4-314A-BDC3-5C7505D4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6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oski.usc.edu/community/faculty/karen-mos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Moss</dc:creator>
  <cp:keywords/>
  <dc:description/>
  <cp:lastModifiedBy>Karen Moss</cp:lastModifiedBy>
  <cp:revision>4</cp:revision>
  <dcterms:created xsi:type="dcterms:W3CDTF">2021-04-30T22:08:00Z</dcterms:created>
  <dcterms:modified xsi:type="dcterms:W3CDTF">2021-04-30T22:11:00Z</dcterms:modified>
</cp:coreProperties>
</file>