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301" w:rsidRDefault="00F647CB">
      <w:pPr>
        <w:widowControl w:val="0"/>
        <w:tabs>
          <w:tab w:val="center" w:pos="4680"/>
        </w:tabs>
        <w:jc w:val="both"/>
      </w:pPr>
      <w:r>
        <w:fldChar w:fldCharType="begin"/>
      </w:r>
      <w:r w:rsidR="00C56301">
        <w:instrText xml:space="preserve"> SEQ CHAPTER \h \r 1</w:instrText>
      </w:r>
      <w:r>
        <w:fldChar w:fldCharType="end"/>
      </w:r>
    </w:p>
    <w:p w:rsidR="00C56301" w:rsidRDefault="00E42AF7" w:rsidP="00D01CAB">
      <w:pPr>
        <w:widowControl w:val="0"/>
        <w:tabs>
          <w:tab w:val="center" w:pos="4680"/>
        </w:tabs>
        <w:jc w:val="center"/>
      </w:pPr>
      <w:r>
        <w:rPr>
          <w:b/>
          <w:sz w:val="29"/>
        </w:rPr>
        <w:t>ECONOMICS OF LESS DEVELOPED</w:t>
      </w:r>
      <w:r w:rsidRPr="00E42AF7">
        <w:rPr>
          <w:b/>
          <w:sz w:val="29"/>
        </w:rPr>
        <w:tab/>
      </w:r>
      <w:r w:rsidR="00C56301">
        <w:rPr>
          <w:b/>
          <w:sz w:val="29"/>
        </w:rPr>
        <w:t xml:space="preserve"> COUNTRIES</w:t>
      </w:r>
    </w:p>
    <w:p w:rsidR="00C56301" w:rsidRDefault="00C56301">
      <w:pPr>
        <w:widowControl w:val="0"/>
      </w:pPr>
    </w:p>
    <w:p w:rsidR="00C56301" w:rsidRDefault="00B8294B">
      <w:pPr>
        <w:widowControl w:val="0"/>
        <w:tabs>
          <w:tab w:val="right" w:pos="9360"/>
        </w:tabs>
      </w:pPr>
      <w:r>
        <w:t>John Strauss</w:t>
      </w:r>
      <w:r>
        <w:tab/>
        <w:t>Spring 2020</w:t>
      </w:r>
      <w:bookmarkStart w:id="0" w:name="_GoBack"/>
      <w:bookmarkEnd w:id="0"/>
    </w:p>
    <w:p w:rsidR="00C56301" w:rsidRDefault="00AF4552">
      <w:pPr>
        <w:widowControl w:val="0"/>
        <w:tabs>
          <w:tab w:val="right" w:pos="9360"/>
        </w:tabs>
      </w:pPr>
      <w:r>
        <w:t>318</w:t>
      </w:r>
      <w:r w:rsidR="00E42AF7">
        <w:t xml:space="preserve">A </w:t>
      </w:r>
      <w:proofErr w:type="spellStart"/>
      <w:r w:rsidR="00E42AF7">
        <w:t>Kaprielian</w:t>
      </w:r>
      <w:proofErr w:type="spellEnd"/>
      <w:r w:rsidR="00E42AF7">
        <w:t xml:space="preserve"> Hall</w:t>
      </w:r>
      <w:r w:rsidR="00C56301">
        <w:tab/>
        <w:t>Department of Economics</w:t>
      </w:r>
    </w:p>
    <w:p w:rsidR="00C56301" w:rsidRDefault="00E42AF7">
      <w:pPr>
        <w:widowControl w:val="0"/>
        <w:tabs>
          <w:tab w:val="right" w:pos="9360"/>
        </w:tabs>
      </w:pPr>
      <w:r>
        <w:t>Phone: 740-7698</w:t>
      </w:r>
      <w:r>
        <w:tab/>
      </w:r>
      <w:smartTag w:uri="urn:schemas-microsoft-com:office:smarttags" w:element="place">
        <w:smartTag w:uri="urn:schemas-microsoft-com:office:smarttags" w:element="PlaceType">
          <w:r w:rsidR="00C56301">
            <w:t>University</w:t>
          </w:r>
        </w:smartTag>
        <w:r>
          <w:t xml:space="preserve"> of </w:t>
        </w:r>
        <w:smartTag w:uri="urn:schemas-microsoft-com:office:smarttags" w:element="PlaceName">
          <w:r>
            <w:t>Southern California</w:t>
          </w:r>
        </w:smartTag>
      </w:smartTag>
    </w:p>
    <w:p w:rsidR="00C56301" w:rsidRDefault="00E42AF7">
      <w:pPr>
        <w:widowControl w:val="0"/>
      </w:pPr>
      <w:r>
        <w:t xml:space="preserve">E-Mail: </w:t>
      </w:r>
      <w:smartTag w:uri="urn:schemas-microsoft-com:office:smarttags" w:element="PersonName">
        <w:r>
          <w:t>jstrauss@usc</w:t>
        </w:r>
        <w:r w:rsidR="00C56301">
          <w:t>.edu</w:t>
        </w:r>
      </w:smartTag>
    </w:p>
    <w:p w:rsidR="00C56301" w:rsidRDefault="00AF0D63">
      <w:pPr>
        <w:widowControl w:val="0"/>
      </w:pPr>
      <w:r>
        <w:t>Office Hours: Monday</w:t>
      </w:r>
      <w:proofErr w:type="gramStart"/>
      <w:r w:rsidR="00C97699">
        <w:t>:10:30</w:t>
      </w:r>
      <w:proofErr w:type="gramEnd"/>
      <w:r w:rsidR="00F56711">
        <w:t>-1</w:t>
      </w:r>
      <w:r w:rsidR="00C97699">
        <w:t>1:30</w:t>
      </w:r>
    </w:p>
    <w:p w:rsidR="00C56301" w:rsidRDefault="00C56301">
      <w:pPr>
        <w:widowControl w:val="0"/>
      </w:pPr>
      <w:r>
        <w:t>and by appointment</w:t>
      </w:r>
    </w:p>
    <w:p w:rsidR="00C56301" w:rsidRDefault="00C56301">
      <w:pPr>
        <w:widowControl w:val="0"/>
      </w:pPr>
    </w:p>
    <w:p w:rsidR="00C56301" w:rsidRDefault="00C56301">
      <w:pPr>
        <w:widowControl w:val="0"/>
      </w:pPr>
    </w:p>
    <w:p w:rsidR="00C56301" w:rsidRPr="00443BDA" w:rsidRDefault="00C56301">
      <w:pPr>
        <w:widowControl w:val="0"/>
      </w:pPr>
      <w:r>
        <w:t xml:space="preserve">This course explores </w:t>
      </w:r>
      <w:r w:rsidR="00337C9F">
        <w:t xml:space="preserve">microeconomic </w:t>
      </w:r>
      <w:r>
        <w:t xml:space="preserve">analysis of behavior and policy issues important in developing economies.  While many of these subjects are also important for industrialized economies, some are of special relevance to poor economies.  The course is developed around </w:t>
      </w:r>
      <w:r w:rsidR="00DC0C65">
        <w:t xml:space="preserve">lectures and </w:t>
      </w:r>
      <w:r>
        <w:t>readings</w:t>
      </w:r>
      <w:r w:rsidR="00673393">
        <w:t xml:space="preserve"> that present empirical, scientific evidence</w:t>
      </w:r>
      <w:r w:rsidR="00DC0C65">
        <w:t xml:space="preserve"> on different topics</w:t>
      </w:r>
      <w:r>
        <w:t xml:space="preserve">. </w:t>
      </w:r>
      <w:r w:rsidR="00DC0C65">
        <w:t>Emphasis is on evidence.</w:t>
      </w:r>
      <w:r>
        <w:t xml:space="preserve"> </w:t>
      </w:r>
      <w:r w:rsidR="00273E2A">
        <w:t>Topic areas include poverty and inequality, agriculture and human capital (health</w:t>
      </w:r>
      <w:r w:rsidR="00DC0C65">
        <w:t xml:space="preserve">, </w:t>
      </w:r>
      <w:r w:rsidR="00273E2A">
        <w:t>schooling</w:t>
      </w:r>
      <w:r w:rsidR="00DC0C65">
        <w:t xml:space="preserve"> and population</w:t>
      </w:r>
      <w:r w:rsidR="00273E2A">
        <w:t xml:space="preserve">).  </w:t>
      </w:r>
      <w:r w:rsidR="002D75AB">
        <w:t>There is no m</w:t>
      </w:r>
      <w:r w:rsidR="00AF4552">
        <w:t xml:space="preserve">ain text, </w:t>
      </w:r>
      <w:r w:rsidR="00AB1794">
        <w:t xml:space="preserve">but we will </w:t>
      </w:r>
      <w:r w:rsidR="00AE6213">
        <w:t xml:space="preserve">numerous </w:t>
      </w:r>
      <w:r w:rsidR="00AB1794">
        <w:t xml:space="preserve">chapters from </w:t>
      </w:r>
      <w:r w:rsidR="00A83F9E">
        <w:t>the</w:t>
      </w:r>
      <w:r w:rsidR="00AE6213">
        <w:t xml:space="preserve"> </w:t>
      </w:r>
      <w:r w:rsidR="00AB1794">
        <w:t>text by Professor Julie Schaffner</w:t>
      </w:r>
      <w:r w:rsidR="00B40254">
        <w:t xml:space="preserve"> of Tufts University</w:t>
      </w:r>
      <w:r w:rsidR="00AE6213">
        <w:t xml:space="preserve">, </w:t>
      </w:r>
      <w:r w:rsidR="00AE6213" w:rsidRPr="00AE6213">
        <w:rPr>
          <w:i/>
        </w:rPr>
        <w:t>Development Economics</w:t>
      </w:r>
      <w:r w:rsidR="00215EA3">
        <w:rPr>
          <w:i/>
        </w:rPr>
        <w:t>: Theory, Empirical Research and Policy Analysis</w:t>
      </w:r>
      <w:r w:rsidR="00E61FE7">
        <w:t>, Wiley</w:t>
      </w:r>
      <w:r w:rsidR="00AB1794">
        <w:t xml:space="preserve">.  </w:t>
      </w:r>
      <w:r w:rsidR="00AE6213">
        <w:t xml:space="preserve">This is available in print and as an e-book.  The electronic version is far less expensive.  </w:t>
      </w:r>
      <w:r w:rsidR="00AF5252">
        <w:t xml:space="preserve">It is available at </w:t>
      </w:r>
      <w:hyperlink r:id="rId6" w:history="1">
        <w:r w:rsidR="00E2750E" w:rsidRPr="00EB3C0F">
          <w:rPr>
            <w:rStyle w:val="Hyperlink"/>
          </w:rPr>
          <w:t>http://www.coursesmart.com/IR/6487639/9780470599396?__hdv=6.8</w:t>
        </w:r>
      </w:hyperlink>
      <w:r w:rsidR="00E2750E">
        <w:t xml:space="preserve">.  </w:t>
      </w:r>
      <w:r w:rsidR="00A83F9E">
        <w:t xml:space="preserve">I encourage you to buy this.  </w:t>
      </w:r>
      <w:r w:rsidR="00AB1794">
        <w:t>Also</w:t>
      </w:r>
      <w:r w:rsidR="00AF4552">
        <w:t xml:space="preserve"> several</w:t>
      </w:r>
      <w:r w:rsidR="0027683B">
        <w:t xml:space="preserve"> book</w:t>
      </w:r>
      <w:r w:rsidR="00625EFB">
        <w:t>s</w:t>
      </w:r>
      <w:r w:rsidR="002D75AB">
        <w:t xml:space="preserve"> that will be used extensi</w:t>
      </w:r>
      <w:r w:rsidR="0027683B">
        <w:t xml:space="preserve">vely in the course: </w:t>
      </w:r>
      <w:r w:rsidR="002D75AB">
        <w:t xml:space="preserve">World Bank, </w:t>
      </w:r>
      <w:r w:rsidR="00625EFB">
        <w:rPr>
          <w:i/>
        </w:rPr>
        <w:t>World Development Report, 2008</w:t>
      </w:r>
      <w:r w:rsidR="000A204A">
        <w:rPr>
          <w:i/>
        </w:rPr>
        <w:t xml:space="preserve">: </w:t>
      </w:r>
      <w:r w:rsidR="00625EFB">
        <w:rPr>
          <w:i/>
        </w:rPr>
        <w:t>Agriculture for Development</w:t>
      </w:r>
      <w:r w:rsidR="0027683B">
        <w:t>,</w:t>
      </w:r>
      <w:r w:rsidR="00AF4552">
        <w:t xml:space="preserve"> </w:t>
      </w:r>
      <w:r w:rsidR="00AF4552">
        <w:rPr>
          <w:i/>
        </w:rPr>
        <w:t>World Development Report, 201</w:t>
      </w:r>
      <w:r w:rsidR="00574878">
        <w:rPr>
          <w:i/>
        </w:rPr>
        <w:t>2</w:t>
      </w:r>
      <w:r w:rsidR="006F5FA3">
        <w:rPr>
          <w:i/>
        </w:rPr>
        <w:t>, 2018</w:t>
      </w:r>
      <w:r w:rsidR="00337C9F">
        <w:t>.</w:t>
      </w:r>
      <w:r w:rsidR="00AB1794">
        <w:t xml:space="preserve"> The World Bank books</w:t>
      </w:r>
      <w:r w:rsidR="00625EFB">
        <w:t xml:space="preserve"> are available </w:t>
      </w:r>
      <w:r w:rsidR="002412C4">
        <w:t>for free</w:t>
      </w:r>
      <w:r w:rsidR="00326EA1">
        <w:t xml:space="preserve"> download</w:t>
      </w:r>
      <w:r w:rsidR="002412C4">
        <w:t xml:space="preserve"> </w:t>
      </w:r>
      <w:r w:rsidR="00DB557F">
        <w:t>o</w:t>
      </w:r>
      <w:r w:rsidR="0027683B">
        <w:t>n the web</w:t>
      </w:r>
      <w:r w:rsidR="000A204A">
        <w:t xml:space="preserve"> at </w:t>
      </w:r>
      <w:hyperlink r:id="rId7" w:history="1">
        <w:r w:rsidR="000A204A" w:rsidRPr="001C6F76">
          <w:rPr>
            <w:rStyle w:val="Hyperlink"/>
          </w:rPr>
          <w:t>www.worldbank.org</w:t>
        </w:r>
      </w:hyperlink>
      <w:r w:rsidR="000A204A">
        <w:t xml:space="preserve"> (go to researc</w:t>
      </w:r>
      <w:r w:rsidR="00625EFB">
        <w:t>h, then to WDRs</w:t>
      </w:r>
      <w:r w:rsidR="000A204A">
        <w:t>)</w:t>
      </w:r>
      <w:r>
        <w:t xml:space="preserve">. </w:t>
      </w:r>
      <w:r w:rsidR="00443BDA">
        <w:t xml:space="preserve"> </w:t>
      </w:r>
      <w:r w:rsidR="00625EFB">
        <w:t>These and oth</w:t>
      </w:r>
      <w:r w:rsidR="00443BDA">
        <w:t>er book</w:t>
      </w:r>
      <w:r w:rsidR="00625EFB">
        <w:t xml:space="preserve">s will be available on reserve at </w:t>
      </w:r>
      <w:proofErr w:type="spellStart"/>
      <w:r w:rsidR="00625EFB">
        <w:t>Leavey</w:t>
      </w:r>
      <w:proofErr w:type="spellEnd"/>
      <w:r w:rsidR="00625EFB">
        <w:t xml:space="preserve"> Library</w:t>
      </w:r>
      <w:r w:rsidR="0012489A">
        <w:t xml:space="preserve"> a</w:t>
      </w:r>
      <w:r w:rsidR="00625EFB">
        <w:t xml:space="preserve">nd articles will be available on </w:t>
      </w:r>
      <w:r w:rsidR="006D636A">
        <w:t xml:space="preserve">ARES </w:t>
      </w:r>
      <w:r w:rsidR="00625EFB">
        <w:t>online reserve</w:t>
      </w:r>
      <w:r w:rsidR="00633789">
        <w:t>, plus you can look them up on the web</w:t>
      </w:r>
      <w:r w:rsidR="00443BDA">
        <w:t>.</w:t>
      </w:r>
    </w:p>
    <w:p w:rsidR="00C56301" w:rsidRDefault="00C56301">
      <w:pPr>
        <w:widowControl w:val="0"/>
      </w:pPr>
    </w:p>
    <w:p w:rsidR="00C56301" w:rsidRDefault="00C56301">
      <w:pPr>
        <w:widowControl w:val="0"/>
      </w:pPr>
      <w:r>
        <w:t xml:space="preserve">As you will see in the syllabus, in each section readings are included that explore an issue in greater detail </w:t>
      </w:r>
      <w:r w:rsidR="002D75AB">
        <w:t>the required readings</w:t>
      </w:r>
      <w:r>
        <w:t xml:space="preserve">.  Many of these come from an annual series published by the World Bank entitled, </w:t>
      </w:r>
      <w:r>
        <w:rPr>
          <w:i/>
        </w:rPr>
        <w:t>World Development Report</w:t>
      </w:r>
      <w:r>
        <w:t xml:space="preserve"> (WDR).  Some are from a journal published jointly by the World Bank and the International Monetary Fund, titled </w:t>
      </w:r>
      <w:r>
        <w:rPr>
          <w:i/>
        </w:rPr>
        <w:t>Finance and Development</w:t>
      </w:r>
      <w:r>
        <w:t xml:space="preserve">; these latter tend to be 1 to 3 pages in length.  A few other readings are included.  The </w:t>
      </w:r>
      <w:r>
        <w:rPr>
          <w:i/>
          <w:iCs/>
        </w:rPr>
        <w:t>WDR</w:t>
      </w:r>
      <w:r w:rsidR="00DB557F">
        <w:t xml:space="preserve">s are on </w:t>
      </w:r>
      <w:r w:rsidR="00744A73">
        <w:t xml:space="preserve">ARES </w:t>
      </w:r>
      <w:r w:rsidR="006D636A">
        <w:t xml:space="preserve">online </w:t>
      </w:r>
      <w:r w:rsidR="00DB557F">
        <w:t xml:space="preserve">reserve </w:t>
      </w:r>
      <w:r w:rsidR="006D636A">
        <w:t xml:space="preserve">and should also be </w:t>
      </w:r>
      <w:r w:rsidR="00DB557F">
        <w:t xml:space="preserve">at </w:t>
      </w:r>
      <w:proofErr w:type="spellStart"/>
      <w:r w:rsidR="00DB557F">
        <w:t>Leavey</w:t>
      </w:r>
      <w:proofErr w:type="spellEnd"/>
      <w:r>
        <w:t xml:space="preserve"> Library, as are other books used for readings.   Articles </w:t>
      </w:r>
      <w:r w:rsidR="00E03029">
        <w:t>not in books are available online as electronic files</w:t>
      </w:r>
      <w:r w:rsidR="00E9408D">
        <w:t xml:space="preserve"> under </w:t>
      </w:r>
      <w:r w:rsidR="00450EAB">
        <w:t>ARES reserve readings</w:t>
      </w:r>
      <w:r w:rsidR="00C65ACF">
        <w:t xml:space="preserve"> </w:t>
      </w:r>
      <w:r w:rsidR="00E9408D">
        <w:t>under Strauss</w:t>
      </w:r>
      <w:r w:rsidR="00E03029">
        <w:t>.</w:t>
      </w:r>
      <w:r w:rsidR="002D75AB">
        <w:t xml:space="preserve">  Articles in books can be found in the books, which should be on reserve.  Articles in jo</w:t>
      </w:r>
      <w:r w:rsidR="00E03029">
        <w:t>urnals will be electronically available</w:t>
      </w:r>
      <w:r w:rsidR="002D75AB">
        <w:t>.</w:t>
      </w:r>
    </w:p>
    <w:p w:rsidR="00C56301" w:rsidRDefault="00C56301">
      <w:pPr>
        <w:widowControl w:val="0"/>
      </w:pPr>
    </w:p>
    <w:p w:rsidR="00C56301" w:rsidRDefault="00C56301">
      <w:pPr>
        <w:widowControl w:val="0"/>
      </w:pPr>
      <w:r>
        <w:t xml:space="preserve">Grading will be based on </w:t>
      </w:r>
      <w:r w:rsidR="00401021">
        <w:t>two</w:t>
      </w:r>
      <w:r w:rsidR="0027683B">
        <w:t xml:space="preserve"> in-class midterm</w:t>
      </w:r>
      <w:r w:rsidR="00401021">
        <w:t>s</w:t>
      </w:r>
      <w:r w:rsidR="0068028B">
        <w:t xml:space="preserve"> </w:t>
      </w:r>
      <w:r>
        <w:t>and a</w:t>
      </w:r>
      <w:r w:rsidR="00862868">
        <w:t>n in-class</w:t>
      </w:r>
      <w:r>
        <w:t xml:space="preserve"> fina</w:t>
      </w:r>
      <w:r w:rsidR="00401021">
        <w:t>l.  Weights will be 3</w:t>
      </w:r>
      <w:r w:rsidR="0068028B">
        <w:t xml:space="preserve">0% for </w:t>
      </w:r>
      <w:r w:rsidR="00401021">
        <w:t>each midterm and 40</w:t>
      </w:r>
      <w:r>
        <w:t>% for</w:t>
      </w:r>
      <w:r w:rsidR="0068028B">
        <w:t xml:space="preserve"> the final.  Exams will </w:t>
      </w:r>
      <w:r>
        <w:t xml:space="preserve">be </w:t>
      </w:r>
      <w:r w:rsidR="0068028B">
        <w:t xml:space="preserve">a mixture of </w:t>
      </w:r>
      <w:r>
        <w:t>multiple choice</w:t>
      </w:r>
      <w:r w:rsidR="00401021">
        <w:t>, true-false and short answer</w:t>
      </w:r>
      <w:r>
        <w:t>.</w:t>
      </w:r>
      <w:r w:rsidR="00476BFD">
        <w:t xml:space="preserve"> We will have a review session before each exam.  Also I will d</w:t>
      </w:r>
      <w:r w:rsidR="00F21847">
        <w:t xml:space="preserve">istribute study guides and </w:t>
      </w:r>
      <w:r w:rsidR="00476BFD">
        <w:t>practice questions in advance of each exam.</w:t>
      </w:r>
    </w:p>
    <w:p w:rsidR="00D3493D" w:rsidRDefault="00D3493D">
      <w:pPr>
        <w:widowControl w:val="0"/>
      </w:pPr>
    </w:p>
    <w:p w:rsidR="00177BBA" w:rsidRDefault="00D3493D">
      <w:pPr>
        <w:widowControl w:val="0"/>
      </w:pPr>
      <w:r>
        <w:t>I will organize small group lunches on a voluntary basis; five students or fewer at a time.  Discussions are open. This is in order for us to get to know each other somewhat, in a large class</w:t>
      </w:r>
      <w:r w:rsidR="002504DD">
        <w:t>.</w:t>
      </w:r>
    </w:p>
    <w:p w:rsidR="00DB2AC8" w:rsidRPr="007D312F" w:rsidRDefault="00084831" w:rsidP="00DB2AC8">
      <w:pPr>
        <w:jc w:val="center"/>
        <w:rPr>
          <w:rFonts w:ascii="Calibri" w:hAnsi="Calibri"/>
        </w:rPr>
      </w:pPr>
      <w:r>
        <w:rPr>
          <w:rFonts w:ascii="Calibri" w:hAnsi="Calibri"/>
          <w:b/>
          <w:bCs/>
        </w:rPr>
        <w:br w:type="page"/>
      </w:r>
      <w:r w:rsidR="00DB2AC8" w:rsidRPr="007D312F">
        <w:rPr>
          <w:rFonts w:ascii="Calibri" w:hAnsi="Calibri"/>
          <w:b/>
          <w:bCs/>
        </w:rPr>
        <w:lastRenderedPageBreak/>
        <w:t>Statement on Academic Conduct and Support Systems</w:t>
      </w:r>
    </w:p>
    <w:p w:rsidR="00DB2AC8" w:rsidRDefault="00DB2AC8" w:rsidP="00DB2AC8">
      <w:pPr>
        <w:ind w:left="720" w:right="720"/>
      </w:pPr>
      <w:r>
        <w:rPr>
          <w:b/>
          <w:bCs/>
          <w:color w:val="000000"/>
        </w:rPr>
        <w:t> </w:t>
      </w:r>
    </w:p>
    <w:p w:rsidR="00DB2AC8" w:rsidRPr="007D312F" w:rsidRDefault="00DB2AC8" w:rsidP="00DB2AC8">
      <w:pPr>
        <w:ind w:right="720"/>
        <w:jc w:val="both"/>
        <w:rPr>
          <w:rFonts w:ascii="Calibri" w:hAnsi="Calibri"/>
        </w:rPr>
      </w:pPr>
      <w:r w:rsidRPr="007D312F">
        <w:rPr>
          <w:rFonts w:ascii="Calibri" w:hAnsi="Calibri"/>
          <w:b/>
          <w:bCs/>
          <w:color w:val="000000"/>
        </w:rPr>
        <w:t>Academic Conduct</w:t>
      </w:r>
    </w:p>
    <w:p w:rsidR="00DB2AC8" w:rsidRPr="007D312F" w:rsidRDefault="00DB2AC8" w:rsidP="00DB2AC8">
      <w:pPr>
        <w:ind w:right="720"/>
        <w:jc w:val="both"/>
        <w:rPr>
          <w:rFonts w:ascii="Calibri" w:hAnsi="Calibri"/>
          <w:sz w:val="20"/>
        </w:rPr>
      </w:pPr>
      <w:r w:rsidRPr="007D312F">
        <w:rPr>
          <w:rFonts w:ascii="Calibri" w:hAnsi="Calibri"/>
          <w:color w:val="000000"/>
          <w:sz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7D312F">
        <w:rPr>
          <w:rFonts w:ascii="Calibri" w:hAnsi="Calibri"/>
          <w:i/>
          <w:iCs/>
          <w:color w:val="000000"/>
          <w:sz w:val="20"/>
        </w:rPr>
        <w:t>SCampus</w:t>
      </w:r>
      <w:proofErr w:type="spellEnd"/>
      <w:r w:rsidRPr="007D312F">
        <w:rPr>
          <w:rFonts w:ascii="Calibri" w:hAnsi="Calibri"/>
          <w:color w:val="000000"/>
          <w:sz w:val="20"/>
        </w:rPr>
        <w:t xml:space="preserve"> in Section 11, </w:t>
      </w:r>
      <w:r w:rsidRPr="007D312F">
        <w:rPr>
          <w:rStyle w:val="description"/>
          <w:rFonts w:ascii="Calibri" w:hAnsi="Calibri"/>
          <w:i/>
          <w:iCs/>
          <w:color w:val="000000"/>
          <w:sz w:val="20"/>
        </w:rPr>
        <w:t>Behavior Violating University Standards</w:t>
      </w:r>
      <w:hyperlink r:id="rId8" w:history="1">
        <w:r w:rsidRPr="007D312F">
          <w:rPr>
            <w:rStyle w:val="Hyperlink"/>
            <w:rFonts w:ascii="Calibri" w:hAnsi="Calibri"/>
            <w:sz w:val="20"/>
          </w:rPr>
          <w:t>https://scampus.usc.edu/1100-behavior-violating-university-standards-and-appropriate-sanctions/</w:t>
        </w:r>
      </w:hyperlink>
      <w:r w:rsidRPr="007D312F">
        <w:rPr>
          <w:rStyle w:val="description"/>
          <w:rFonts w:ascii="Calibri" w:hAnsi="Calibri"/>
          <w:color w:val="000000"/>
          <w:sz w:val="20"/>
        </w:rPr>
        <w:t xml:space="preserve">.  </w:t>
      </w:r>
      <w:r w:rsidRPr="007D312F">
        <w:rPr>
          <w:rFonts w:ascii="Calibri" w:hAnsi="Calibri"/>
          <w:color w:val="000000"/>
          <w:sz w:val="20"/>
        </w:rPr>
        <w:t xml:space="preserve">Other forms of academic dishonesty are equally unacceptable.  See additional information in </w:t>
      </w:r>
      <w:proofErr w:type="spellStart"/>
      <w:r w:rsidRPr="007D312F">
        <w:rPr>
          <w:rFonts w:ascii="Calibri" w:hAnsi="Calibri"/>
          <w:i/>
          <w:iCs/>
          <w:color w:val="000000"/>
          <w:sz w:val="20"/>
        </w:rPr>
        <w:t>SCampus</w:t>
      </w:r>
      <w:proofErr w:type="spellEnd"/>
      <w:r w:rsidRPr="007D312F">
        <w:rPr>
          <w:rFonts w:ascii="Calibri" w:hAnsi="Calibri"/>
          <w:i/>
          <w:iCs/>
          <w:color w:val="000000"/>
          <w:sz w:val="20"/>
        </w:rPr>
        <w:t xml:space="preserve"> </w:t>
      </w:r>
      <w:r w:rsidRPr="007D312F">
        <w:rPr>
          <w:rFonts w:ascii="Calibri" w:hAnsi="Calibri"/>
          <w:color w:val="000000"/>
          <w:sz w:val="20"/>
        </w:rPr>
        <w:t xml:space="preserve">and university policies on scientific misconduct, </w:t>
      </w:r>
      <w:hyperlink r:id="rId9" w:history="1">
        <w:r w:rsidRPr="007D312F">
          <w:rPr>
            <w:rStyle w:val="Hyperlink"/>
            <w:rFonts w:ascii="Calibri" w:hAnsi="Calibri"/>
            <w:sz w:val="20"/>
          </w:rPr>
          <w:t>http://policy.usc.edu/scientific-misconduct/</w:t>
        </w:r>
      </w:hyperlink>
      <w:r w:rsidRPr="007D312F">
        <w:rPr>
          <w:rFonts w:ascii="Calibri" w:hAnsi="Calibri"/>
          <w:color w:val="000000"/>
          <w:sz w:val="20"/>
        </w:rPr>
        <w:t>.</w:t>
      </w:r>
    </w:p>
    <w:p w:rsidR="00DB2AC8" w:rsidRPr="007D312F" w:rsidRDefault="00DB2AC8" w:rsidP="00DB2AC8">
      <w:pPr>
        <w:ind w:right="720"/>
        <w:jc w:val="both"/>
        <w:rPr>
          <w:rFonts w:ascii="Calibri" w:hAnsi="Calibri"/>
          <w:sz w:val="20"/>
        </w:rPr>
      </w:pPr>
    </w:p>
    <w:p w:rsidR="00DB2AC8" w:rsidRPr="007D312F" w:rsidRDefault="00DB2AC8" w:rsidP="00DB2AC8">
      <w:pPr>
        <w:ind w:right="720"/>
        <w:jc w:val="both"/>
        <w:rPr>
          <w:rFonts w:ascii="Calibri" w:hAnsi="Calibri"/>
          <w:sz w:val="20"/>
        </w:rPr>
      </w:pPr>
      <w:r w:rsidRPr="007D312F">
        <w:rPr>
          <w:rFonts w:ascii="Calibri" w:hAnsi="Calibri"/>
          <w:color w:val="000000"/>
          <w:sz w:val="20"/>
        </w:rPr>
        <w:t xml:space="preserve">Discrimination, sexual assault, and harassment are not tolerated by the university.  You are encouraged to report any incidents to the </w:t>
      </w:r>
      <w:r w:rsidRPr="007D312F">
        <w:rPr>
          <w:rFonts w:ascii="Calibri" w:hAnsi="Calibri"/>
          <w:i/>
          <w:iCs/>
          <w:color w:val="000000"/>
          <w:sz w:val="20"/>
        </w:rPr>
        <w:t>Office of Equity and Diversity</w:t>
      </w:r>
      <w:r w:rsidRPr="007D312F">
        <w:rPr>
          <w:rFonts w:ascii="Calibri" w:hAnsi="Calibri"/>
          <w:color w:val="000000"/>
          <w:sz w:val="20"/>
        </w:rPr>
        <w:t xml:space="preserve"> </w:t>
      </w:r>
      <w:hyperlink r:id="rId10" w:history="1">
        <w:r w:rsidRPr="007D312F">
          <w:rPr>
            <w:rStyle w:val="Hyperlink"/>
            <w:rFonts w:ascii="Calibri" w:hAnsi="Calibri"/>
            <w:sz w:val="20"/>
          </w:rPr>
          <w:t>http://equity.usc.edu/</w:t>
        </w:r>
      </w:hyperlink>
      <w:r w:rsidRPr="007D312F">
        <w:rPr>
          <w:rFonts w:ascii="Calibri" w:hAnsi="Calibri"/>
          <w:color w:val="000000"/>
          <w:sz w:val="20"/>
        </w:rPr>
        <w:t xml:space="preserve"> or to the </w:t>
      </w:r>
      <w:r w:rsidRPr="007D312F">
        <w:rPr>
          <w:rFonts w:ascii="Calibri" w:hAnsi="Calibri"/>
          <w:i/>
          <w:iCs/>
          <w:color w:val="000000"/>
          <w:sz w:val="20"/>
        </w:rPr>
        <w:t>Department of Public Safety</w:t>
      </w:r>
      <w:r w:rsidRPr="007D312F">
        <w:rPr>
          <w:rFonts w:ascii="Calibri" w:hAnsi="Calibri"/>
          <w:color w:val="000000"/>
          <w:sz w:val="20"/>
        </w:rPr>
        <w:t xml:space="preserve"> </w:t>
      </w:r>
      <w:hyperlink r:id="rId11" w:history="1">
        <w:r w:rsidRPr="007D312F">
          <w:rPr>
            <w:rStyle w:val="Hyperlink"/>
            <w:rFonts w:ascii="Calibri" w:hAnsi="Calibri"/>
            <w:sz w:val="20"/>
          </w:rPr>
          <w:t>http://capsnet.usc.edu/department/department-public-safety/online-forms/contact-us</w:t>
        </w:r>
      </w:hyperlink>
      <w:r w:rsidRPr="007D312F">
        <w:rPr>
          <w:rFonts w:ascii="Calibri" w:hAnsi="Calibri"/>
          <w:color w:val="000000"/>
          <w:sz w:val="2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7D312F">
        <w:rPr>
          <w:rFonts w:ascii="Calibri" w:hAnsi="Calibri"/>
          <w:i/>
          <w:iCs/>
          <w:color w:val="000000"/>
          <w:sz w:val="20"/>
        </w:rPr>
        <w:t xml:space="preserve">The Center for Women and Men </w:t>
      </w:r>
      <w:hyperlink r:id="rId12" w:history="1">
        <w:r w:rsidRPr="007D312F">
          <w:rPr>
            <w:rStyle w:val="Hyperlink"/>
            <w:rFonts w:ascii="Calibri" w:hAnsi="Calibri"/>
            <w:sz w:val="20"/>
          </w:rPr>
          <w:t>http://www.usc.edu/student-affairs/cwm/</w:t>
        </w:r>
      </w:hyperlink>
      <w:r w:rsidRPr="007D312F">
        <w:rPr>
          <w:rFonts w:ascii="Calibri" w:hAnsi="Calibri"/>
          <w:color w:val="000000"/>
          <w:sz w:val="20"/>
        </w:rPr>
        <w:t xml:space="preserve"> provides 24/7 confidential support, and the sexual assault resource center webpage </w:t>
      </w:r>
      <w:hyperlink r:id="rId13" w:history="1">
        <w:r w:rsidRPr="007D312F">
          <w:rPr>
            <w:rStyle w:val="Hyperlink"/>
            <w:rFonts w:ascii="Calibri" w:hAnsi="Calibri"/>
            <w:sz w:val="20"/>
          </w:rPr>
          <w:t>sarc@usc.edu</w:t>
        </w:r>
      </w:hyperlink>
      <w:r w:rsidRPr="007D312F">
        <w:rPr>
          <w:rFonts w:ascii="Calibri" w:hAnsi="Calibri"/>
          <w:color w:val="000000"/>
          <w:sz w:val="20"/>
        </w:rPr>
        <w:t xml:space="preserve"> describes reporting options and other resources.</w:t>
      </w:r>
    </w:p>
    <w:p w:rsidR="00DB2AC8" w:rsidRPr="007D312F" w:rsidRDefault="00DB2AC8" w:rsidP="00DB2AC8">
      <w:pPr>
        <w:ind w:right="720"/>
        <w:jc w:val="both"/>
        <w:rPr>
          <w:rFonts w:ascii="Calibri" w:hAnsi="Calibri"/>
          <w:sz w:val="20"/>
        </w:rPr>
      </w:pPr>
    </w:p>
    <w:p w:rsidR="00DB2AC8" w:rsidRPr="007D312F" w:rsidRDefault="00DB2AC8" w:rsidP="00DB2AC8">
      <w:pPr>
        <w:pStyle w:val="Heading2"/>
        <w:ind w:right="720"/>
        <w:jc w:val="both"/>
        <w:rPr>
          <w:rFonts w:ascii="Calibri" w:hAnsi="Calibri"/>
          <w:b w:val="0"/>
          <w:i w:val="0"/>
          <w:sz w:val="24"/>
          <w:szCs w:val="24"/>
        </w:rPr>
      </w:pPr>
      <w:r w:rsidRPr="007D312F">
        <w:rPr>
          <w:rFonts w:ascii="Calibri" w:hAnsi="Calibri"/>
          <w:b w:val="0"/>
          <w:i w:val="0"/>
          <w:color w:val="000000"/>
          <w:sz w:val="24"/>
          <w:szCs w:val="24"/>
        </w:rPr>
        <w:t>Support Systems</w:t>
      </w:r>
    </w:p>
    <w:p w:rsidR="00DB2AC8" w:rsidRPr="007D312F" w:rsidRDefault="00DB2AC8" w:rsidP="00DB2AC8">
      <w:pPr>
        <w:ind w:right="720"/>
        <w:jc w:val="both"/>
        <w:rPr>
          <w:rFonts w:ascii="Calibri" w:hAnsi="Calibri"/>
          <w:sz w:val="20"/>
        </w:rPr>
      </w:pPr>
      <w:r w:rsidRPr="007D312F">
        <w:rPr>
          <w:rFonts w:ascii="Calibri" w:hAnsi="Calibri"/>
          <w:color w:val="000000"/>
          <w:sz w:val="20"/>
        </w:rPr>
        <w:t xml:space="preserve">A number of USC’s schools provide support for students who need help with scholarly writing.  Check with your advisor or program staff to find out more.  Students whose primary language is not English should check with the </w:t>
      </w:r>
      <w:r w:rsidRPr="007D312F">
        <w:rPr>
          <w:rFonts w:ascii="Calibri" w:hAnsi="Calibri"/>
          <w:i/>
          <w:iCs/>
          <w:color w:val="000000"/>
          <w:sz w:val="20"/>
        </w:rPr>
        <w:t xml:space="preserve">American Language Institute </w:t>
      </w:r>
      <w:hyperlink r:id="rId14" w:history="1">
        <w:r w:rsidRPr="007D312F">
          <w:rPr>
            <w:rStyle w:val="Hyperlink"/>
            <w:rFonts w:ascii="Calibri" w:hAnsi="Calibri"/>
            <w:sz w:val="20"/>
          </w:rPr>
          <w:t>http://dornsife.usc.edu/ali</w:t>
        </w:r>
      </w:hyperlink>
      <w:r w:rsidRPr="007D312F">
        <w:rPr>
          <w:rFonts w:ascii="Calibri" w:hAnsi="Calibri"/>
          <w:color w:val="000000"/>
          <w:sz w:val="20"/>
        </w:rPr>
        <w:t xml:space="preserve">, which sponsors courses and workshops specifically for international graduate students.  </w:t>
      </w:r>
      <w:r w:rsidRPr="007D312F">
        <w:rPr>
          <w:rFonts w:ascii="Calibri" w:hAnsi="Calibri"/>
          <w:i/>
          <w:iCs/>
          <w:color w:val="000000"/>
          <w:sz w:val="20"/>
        </w:rPr>
        <w:t>The Office of Disability Service</w:t>
      </w:r>
      <w:r w:rsidRPr="007D312F">
        <w:rPr>
          <w:rFonts w:ascii="Calibri" w:hAnsi="Calibri"/>
          <w:i/>
          <w:iCs/>
          <w:color w:val="1F497D"/>
          <w:sz w:val="20"/>
        </w:rPr>
        <w:t>s</w:t>
      </w:r>
      <w:r w:rsidRPr="007D312F">
        <w:rPr>
          <w:rFonts w:ascii="Calibri" w:hAnsi="Calibri"/>
          <w:i/>
          <w:iCs/>
          <w:color w:val="000000"/>
          <w:sz w:val="20"/>
        </w:rPr>
        <w:t xml:space="preserve"> and Programs </w:t>
      </w:r>
      <w:hyperlink r:id="rId15" w:history="1">
        <w:r w:rsidRPr="007D312F">
          <w:rPr>
            <w:rStyle w:val="Hyperlink"/>
            <w:rFonts w:ascii="Calibri" w:hAnsi="Calibri"/>
            <w:sz w:val="20"/>
          </w:rPr>
          <w:t>http://sait.usc.edu/academicsupport/centerprograms/dsp/home_index.html</w:t>
        </w:r>
      </w:hyperlink>
      <w:r w:rsidRPr="007D312F">
        <w:rPr>
          <w:rFonts w:ascii="Calibri" w:hAnsi="Calibri"/>
          <w:color w:val="000000"/>
          <w:sz w:val="20"/>
        </w:rPr>
        <w:t xml:space="preserve">provides certification for students with disabilities and helps arrange the relevant accommodations.  If an officially  declared emergency makes travel to campus infeasible, </w:t>
      </w:r>
      <w:r w:rsidRPr="007D312F">
        <w:rPr>
          <w:rFonts w:ascii="Calibri" w:hAnsi="Calibri"/>
          <w:i/>
          <w:iCs/>
          <w:color w:val="000000"/>
          <w:sz w:val="20"/>
        </w:rPr>
        <w:t xml:space="preserve">USC Emergency Information </w:t>
      </w:r>
      <w:hyperlink r:id="rId16" w:history="1">
        <w:r w:rsidRPr="007D312F">
          <w:rPr>
            <w:rStyle w:val="Hyperlink"/>
            <w:rFonts w:ascii="Calibri" w:hAnsi="Calibri"/>
            <w:i/>
            <w:iCs/>
            <w:sz w:val="20"/>
          </w:rPr>
          <w:t>http://emergency.usc.edu/</w:t>
        </w:r>
      </w:hyperlink>
      <w:r w:rsidRPr="007D312F">
        <w:rPr>
          <w:rFonts w:ascii="Calibri" w:hAnsi="Calibri"/>
          <w:color w:val="000000"/>
          <w:sz w:val="20"/>
        </w:rPr>
        <w:t>will provide safety and other updates, including ways in which instruction will be continued by means of blackboard, teleconferencing, and other technology.</w:t>
      </w:r>
    </w:p>
    <w:p w:rsidR="00DB2AC8" w:rsidRPr="007D312F" w:rsidRDefault="00DB2AC8" w:rsidP="00DB2AC8">
      <w:pPr>
        <w:jc w:val="both"/>
        <w:rPr>
          <w:rFonts w:ascii="Calibri" w:hAnsi="Calibri" w:cs="Calibri"/>
          <w:b/>
          <w:color w:val="000000"/>
          <w:sz w:val="20"/>
        </w:rPr>
      </w:pPr>
    </w:p>
    <w:p w:rsidR="00DB2AC8" w:rsidRDefault="00DB2AC8" w:rsidP="00DB2AC8">
      <w:pPr>
        <w:widowControl w:val="0"/>
      </w:pPr>
    </w:p>
    <w:p w:rsidR="00177BBA" w:rsidRDefault="00DB2AC8">
      <w:pPr>
        <w:widowControl w:val="0"/>
      </w:pPr>
      <w:r>
        <w:rPr>
          <w:b/>
        </w:rPr>
        <w:br w:type="page"/>
      </w:r>
      <w:r>
        <w:lastRenderedPageBreak/>
        <w:t xml:space="preserve"> </w:t>
      </w:r>
    </w:p>
    <w:p w:rsidR="00C56301" w:rsidRDefault="00C56301">
      <w:pPr>
        <w:widowControl w:val="0"/>
      </w:pPr>
      <w:r>
        <w:rPr>
          <w:b/>
        </w:rPr>
        <w:t>I. What is development economics?</w:t>
      </w:r>
    </w:p>
    <w:p w:rsidR="00C56301" w:rsidRDefault="00C56301">
      <w:pPr>
        <w:widowControl w:val="0"/>
      </w:pPr>
    </w:p>
    <w:p w:rsidR="00C56301" w:rsidRPr="00852FCA" w:rsidRDefault="00C56301">
      <w:pPr>
        <w:widowControl w:val="0"/>
      </w:pPr>
      <w:r>
        <w:tab/>
      </w:r>
      <w:r w:rsidR="00852FCA">
        <w:t xml:space="preserve">Schaffner, </w:t>
      </w:r>
      <w:r w:rsidR="00852FCA">
        <w:rPr>
          <w:i/>
        </w:rPr>
        <w:t>Development Economics: Theory, Empirical Research and Policy Analysis</w:t>
      </w:r>
      <w:r w:rsidR="00066528">
        <w:t>, Chapter 1, Introduction</w:t>
      </w:r>
    </w:p>
    <w:p w:rsidR="00C56301" w:rsidRDefault="00C56301">
      <w:pPr>
        <w:widowControl w:val="0"/>
      </w:pPr>
    </w:p>
    <w:p w:rsidR="00C56301" w:rsidRDefault="00C56301">
      <w:pPr>
        <w:widowControl w:val="0"/>
      </w:pPr>
    </w:p>
    <w:p w:rsidR="00C56301" w:rsidRDefault="00C56301">
      <w:pPr>
        <w:widowControl w:val="0"/>
      </w:pPr>
      <w:r>
        <w:rPr>
          <w:b/>
        </w:rPr>
        <w:t>II. Measuring development</w:t>
      </w:r>
    </w:p>
    <w:p w:rsidR="00C56301" w:rsidRDefault="00C56301">
      <w:pPr>
        <w:widowControl w:val="0"/>
      </w:pPr>
    </w:p>
    <w:p w:rsidR="00C56301" w:rsidRDefault="00852FCA">
      <w:pPr>
        <w:widowControl w:val="0"/>
      </w:pPr>
      <w:r>
        <w:tab/>
        <w:t>Schaffner, Chapter 2, Well-Being</w:t>
      </w:r>
    </w:p>
    <w:p w:rsidR="00D3343A" w:rsidRDefault="00D3343A">
      <w:pPr>
        <w:widowControl w:val="0"/>
      </w:pPr>
      <w:r>
        <w:tab/>
        <w:t xml:space="preserve">Schaffner, Chapter 3, </w:t>
      </w:r>
      <w:r w:rsidR="00066528">
        <w:t xml:space="preserve">Economic </w:t>
      </w:r>
      <w:r>
        <w:t>Growth</w:t>
      </w:r>
    </w:p>
    <w:p w:rsidR="00C56301" w:rsidRDefault="00C56301">
      <w:pPr>
        <w:widowControl w:val="0"/>
      </w:pPr>
    </w:p>
    <w:p w:rsidR="00C56301" w:rsidRDefault="00C56301" w:rsidP="00926FD3">
      <w:pPr>
        <w:widowControl w:val="0"/>
        <w:ind w:left="720"/>
      </w:pPr>
      <w:r>
        <w:tab/>
      </w:r>
    </w:p>
    <w:p w:rsidR="00C56301" w:rsidRDefault="00C56301">
      <w:pPr>
        <w:keepNext/>
        <w:keepLines/>
        <w:widowControl w:val="0"/>
      </w:pPr>
      <w:r>
        <w:rPr>
          <w:b/>
        </w:rPr>
        <w:t>III. Poverty and inequality</w:t>
      </w:r>
    </w:p>
    <w:p w:rsidR="00C56301" w:rsidRDefault="00C56301">
      <w:pPr>
        <w:keepNext/>
        <w:keepLines/>
        <w:widowControl w:val="0"/>
      </w:pPr>
    </w:p>
    <w:p w:rsidR="00C56301" w:rsidRDefault="00F57F7E">
      <w:pPr>
        <w:keepNext/>
        <w:keepLines/>
        <w:widowControl w:val="0"/>
        <w:ind w:left="720"/>
      </w:pPr>
      <w:r>
        <w:t>Schaffner</w:t>
      </w:r>
      <w:r w:rsidR="00C56301">
        <w:t xml:space="preserve">, Chapter </w:t>
      </w:r>
      <w:r w:rsidR="00C77418">
        <w:t>5, Poverty, Inequality and Vulnerability</w:t>
      </w:r>
    </w:p>
    <w:p w:rsidR="00C56301" w:rsidRDefault="00C56301">
      <w:pPr>
        <w:keepNext/>
        <w:keepLines/>
        <w:widowControl w:val="0"/>
        <w:ind w:left="720"/>
      </w:pPr>
    </w:p>
    <w:p w:rsidR="00C56301" w:rsidRDefault="00C56301">
      <w:pPr>
        <w:keepNext/>
        <w:keepLines/>
        <w:widowControl w:val="0"/>
        <w:ind w:left="720"/>
      </w:pPr>
      <w:r>
        <w:t xml:space="preserve">World Bank, </w:t>
      </w:r>
      <w:r>
        <w:rPr>
          <w:i/>
        </w:rPr>
        <w:t>World Development Report, 1990</w:t>
      </w:r>
      <w:r>
        <w:t>, pp. 24-55</w:t>
      </w:r>
    </w:p>
    <w:p w:rsidR="00C56301" w:rsidRDefault="00C56301">
      <w:pPr>
        <w:keepNext/>
        <w:keepLines/>
        <w:widowControl w:val="0"/>
      </w:pPr>
    </w:p>
    <w:p w:rsidR="00C56301" w:rsidRDefault="00C56301">
      <w:pPr>
        <w:keepLines/>
        <w:widowControl w:val="0"/>
        <w:ind w:left="720"/>
      </w:pPr>
      <w:r>
        <w:t xml:space="preserve">World Bank, </w:t>
      </w:r>
      <w:r>
        <w:rPr>
          <w:i/>
        </w:rPr>
        <w:t>World Development Report, 2000/2001</w:t>
      </w:r>
      <w:r w:rsidR="00BF6D55">
        <w:t xml:space="preserve">, </w:t>
      </w:r>
      <w:r w:rsidR="00A85A7A">
        <w:t>Overview</w:t>
      </w:r>
    </w:p>
    <w:p w:rsidR="00BF6D55" w:rsidRDefault="00BF6D55">
      <w:pPr>
        <w:keepLines/>
        <w:widowControl w:val="0"/>
        <w:ind w:left="720"/>
      </w:pPr>
    </w:p>
    <w:p w:rsidR="000870CB" w:rsidRDefault="000870CB" w:rsidP="00A85A7A">
      <w:pPr>
        <w:widowControl w:val="0"/>
        <w:ind w:left="720"/>
      </w:pPr>
      <w:r>
        <w:t xml:space="preserve">Martin Ravallion, “How long will it take to lift one billion people out of poverty?” </w:t>
      </w:r>
      <w:r w:rsidRPr="00EC606F">
        <w:rPr>
          <w:i/>
        </w:rPr>
        <w:t>World Bank Research Observer</w:t>
      </w:r>
      <w:r w:rsidR="005D49F2">
        <w:t>, August</w:t>
      </w:r>
      <w:r>
        <w:t xml:space="preserve"> 2013.</w:t>
      </w:r>
    </w:p>
    <w:p w:rsidR="00057671" w:rsidRDefault="00057671" w:rsidP="00A85A7A">
      <w:pPr>
        <w:widowControl w:val="0"/>
        <w:ind w:left="720"/>
      </w:pPr>
    </w:p>
    <w:p w:rsidR="00057671" w:rsidRPr="00057671" w:rsidRDefault="00AF3CB2" w:rsidP="00A85A7A">
      <w:pPr>
        <w:widowControl w:val="0"/>
        <w:ind w:left="720"/>
      </w:pPr>
      <w:proofErr w:type="spellStart"/>
      <w:r>
        <w:t>Beegle</w:t>
      </w:r>
      <w:proofErr w:type="spellEnd"/>
      <w:r>
        <w:t>, Kathleen, L</w:t>
      </w:r>
      <w:r w:rsidR="00057671">
        <w:t xml:space="preserve">uc </w:t>
      </w:r>
      <w:proofErr w:type="spellStart"/>
      <w:r w:rsidR="00057671">
        <w:t>Christiaensen</w:t>
      </w:r>
      <w:proofErr w:type="spellEnd"/>
      <w:r w:rsidR="00057671">
        <w:t xml:space="preserve">, Andrew </w:t>
      </w:r>
      <w:proofErr w:type="spellStart"/>
      <w:r w:rsidR="00057671">
        <w:t>Dabalen</w:t>
      </w:r>
      <w:proofErr w:type="spellEnd"/>
      <w:r w:rsidR="00057671">
        <w:t xml:space="preserve"> and Isis Gaddis, 2016. </w:t>
      </w:r>
      <w:r w:rsidR="00057671">
        <w:rPr>
          <w:i/>
        </w:rPr>
        <w:t>Poverty in a Rising Africa</w:t>
      </w:r>
      <w:r w:rsidR="00057671">
        <w:t>, World Bank, Overview.</w:t>
      </w:r>
    </w:p>
    <w:p w:rsidR="000870CB" w:rsidRDefault="000870CB" w:rsidP="00A85A7A">
      <w:pPr>
        <w:widowControl w:val="0"/>
        <w:ind w:left="720"/>
      </w:pPr>
    </w:p>
    <w:p w:rsidR="00DB557F" w:rsidRDefault="00DB557F" w:rsidP="00DB557F">
      <w:pPr>
        <w:keepLines/>
        <w:widowControl w:val="0"/>
        <w:ind w:left="720"/>
      </w:pPr>
      <w:r>
        <w:t xml:space="preserve">Paul Collier and Stefan </w:t>
      </w:r>
      <w:proofErr w:type="spellStart"/>
      <w:r>
        <w:t>Dercon</w:t>
      </w:r>
      <w:proofErr w:type="spellEnd"/>
      <w:r>
        <w:t xml:space="preserve">, “The complementarities of poverty reduction, inequality and growth: A perspective on the World Development Report, 2006”, </w:t>
      </w:r>
      <w:r w:rsidRPr="00F56945">
        <w:rPr>
          <w:i/>
        </w:rPr>
        <w:t>Economic Development and Cultural Change</w:t>
      </w:r>
      <w:r>
        <w:t>, Oct 2006.</w:t>
      </w:r>
    </w:p>
    <w:p w:rsidR="00FB62A4" w:rsidRDefault="00FB62A4" w:rsidP="00DB557F">
      <w:pPr>
        <w:keepLines/>
        <w:widowControl w:val="0"/>
        <w:ind w:left="720"/>
      </w:pPr>
    </w:p>
    <w:p w:rsidR="00FB62A4" w:rsidRPr="00FB62A4" w:rsidRDefault="00FB62A4" w:rsidP="00DB557F">
      <w:pPr>
        <w:keepLines/>
        <w:widowControl w:val="0"/>
        <w:ind w:left="720"/>
      </w:pPr>
      <w:r>
        <w:t xml:space="preserve">World Bank, </w:t>
      </w:r>
      <w:r>
        <w:rPr>
          <w:i/>
        </w:rPr>
        <w:t>World Development Report, 2012</w:t>
      </w:r>
      <w:r>
        <w:t>, Overview</w:t>
      </w:r>
    </w:p>
    <w:p w:rsidR="00DB557F" w:rsidRPr="000A204A" w:rsidRDefault="00DB557F">
      <w:pPr>
        <w:keepLines/>
        <w:widowControl w:val="0"/>
        <w:ind w:left="720"/>
      </w:pPr>
    </w:p>
    <w:p w:rsidR="00C56301" w:rsidRDefault="00C56301">
      <w:pPr>
        <w:keepLines/>
        <w:widowControl w:val="0"/>
        <w:ind w:left="720"/>
        <w:rPr>
          <w:i/>
          <w:iCs/>
        </w:rPr>
      </w:pPr>
      <w:r>
        <w:rPr>
          <w:i/>
          <w:iCs/>
        </w:rPr>
        <w:t>In more detail:</w:t>
      </w:r>
    </w:p>
    <w:p w:rsidR="00C56301" w:rsidRDefault="00C56301">
      <w:pPr>
        <w:widowControl w:val="0"/>
      </w:pPr>
    </w:p>
    <w:p w:rsidR="000870CB" w:rsidRPr="005F5DF1" w:rsidRDefault="000870CB" w:rsidP="000870CB">
      <w:pPr>
        <w:widowControl w:val="0"/>
        <w:ind w:left="720"/>
      </w:pPr>
      <w:proofErr w:type="spellStart"/>
      <w:r>
        <w:t>Shaohua</w:t>
      </w:r>
      <w:proofErr w:type="spellEnd"/>
      <w:r>
        <w:t xml:space="preserve"> Chen and Martin Ravallion, </w:t>
      </w:r>
      <w:r w:rsidR="00B95ED1">
        <w:t xml:space="preserve">2010. </w:t>
      </w:r>
      <w:r>
        <w:t>“The developing world is poorer than we thought, but no less successful in t</w:t>
      </w:r>
      <w:r w:rsidR="00B95ED1">
        <w:t xml:space="preserve">he fight against poverty”, </w:t>
      </w:r>
      <w:r w:rsidR="0091262D" w:rsidRPr="00B95ED1">
        <w:rPr>
          <w:i/>
        </w:rPr>
        <w:t>Quarterly Journal of Economics</w:t>
      </w:r>
      <w:r w:rsidR="00B95ED1">
        <w:t>, 125(4):1577-1625</w:t>
      </w:r>
      <w:r>
        <w:t>.</w:t>
      </w:r>
    </w:p>
    <w:p w:rsidR="000870CB" w:rsidRDefault="000870CB" w:rsidP="000870CB">
      <w:pPr>
        <w:widowControl w:val="0"/>
        <w:ind w:left="720"/>
      </w:pPr>
    </w:p>
    <w:p w:rsidR="00625EFB" w:rsidRDefault="00D66238" w:rsidP="0027683B">
      <w:pPr>
        <w:widowControl w:val="0"/>
        <w:ind w:left="720"/>
      </w:pPr>
      <w:r>
        <w:t>Ferreira, Francisco and Martin Ravallion, “Global poverty and inequality: A review of the evidence”, World Bank Policy Research Working Paper WPS4623, May 2008.</w:t>
      </w:r>
    </w:p>
    <w:p w:rsidR="0003030F" w:rsidRDefault="0003030F" w:rsidP="0027683B">
      <w:pPr>
        <w:widowControl w:val="0"/>
        <w:ind w:left="720"/>
      </w:pPr>
    </w:p>
    <w:p w:rsidR="007F1F2C" w:rsidRDefault="007F1F2C" w:rsidP="00E3618E">
      <w:pPr>
        <w:widowControl w:val="0"/>
        <w:ind w:left="720"/>
      </w:pPr>
      <w:r>
        <w:t xml:space="preserve">Banerjee, </w:t>
      </w:r>
      <w:proofErr w:type="spellStart"/>
      <w:r>
        <w:t>Abhijit</w:t>
      </w:r>
      <w:proofErr w:type="spellEnd"/>
      <w:r>
        <w:t xml:space="preserve"> et al., 2015. “A multifaceted program causes lasting progress for the very poor: Evidence from six countries”, </w:t>
      </w:r>
      <w:r w:rsidRPr="007F1F2C">
        <w:rPr>
          <w:i/>
        </w:rPr>
        <w:t>Science</w:t>
      </w:r>
      <w:r>
        <w:t xml:space="preserve">, 348, 1260788. </w:t>
      </w:r>
    </w:p>
    <w:p w:rsidR="007F1F2C" w:rsidRDefault="007F1F2C" w:rsidP="00E3618E">
      <w:pPr>
        <w:widowControl w:val="0"/>
        <w:ind w:left="720"/>
      </w:pPr>
    </w:p>
    <w:p w:rsidR="00E3618E" w:rsidRDefault="00E3618E" w:rsidP="00E3618E">
      <w:pPr>
        <w:widowControl w:val="0"/>
        <w:ind w:left="720"/>
      </w:pPr>
      <w:proofErr w:type="spellStart"/>
      <w:r>
        <w:lastRenderedPageBreak/>
        <w:t>Ravallion</w:t>
      </w:r>
      <w:proofErr w:type="spellEnd"/>
      <w:r>
        <w:t xml:space="preserve">, Martin, 2016.  </w:t>
      </w:r>
      <w:r>
        <w:rPr>
          <w:i/>
        </w:rPr>
        <w:t>The Economics of Poverty</w:t>
      </w:r>
      <w:r>
        <w:t>, Oxford University Press, Chapters 5</w:t>
      </w:r>
      <w:r w:rsidR="002A679F">
        <w:t xml:space="preserve"> and 7 (Chapters 1-4</w:t>
      </w:r>
      <w:r>
        <w:t xml:space="preserve"> are very informative as well).</w:t>
      </w:r>
    </w:p>
    <w:p w:rsidR="00E3618E" w:rsidRDefault="00E3618E" w:rsidP="00E3618E">
      <w:pPr>
        <w:widowControl w:val="0"/>
        <w:ind w:left="720"/>
      </w:pPr>
    </w:p>
    <w:p w:rsidR="00D66238" w:rsidRPr="0027683B" w:rsidRDefault="00D66238" w:rsidP="0027683B">
      <w:pPr>
        <w:widowControl w:val="0"/>
        <w:ind w:left="720"/>
      </w:pPr>
    </w:p>
    <w:p w:rsidR="00C56301" w:rsidRPr="00806026" w:rsidRDefault="00806026">
      <w:pPr>
        <w:widowControl w:val="0"/>
        <w:rPr>
          <w:b/>
        </w:rPr>
      </w:pPr>
      <w:r>
        <w:rPr>
          <w:b/>
        </w:rPr>
        <w:t>MIDTERM 1</w:t>
      </w:r>
    </w:p>
    <w:p w:rsidR="00C56301" w:rsidRDefault="00C56301">
      <w:pPr>
        <w:widowControl w:val="0"/>
      </w:pPr>
    </w:p>
    <w:p w:rsidR="00C56301" w:rsidRDefault="00BC5AE9">
      <w:pPr>
        <w:keepNext/>
        <w:keepLines/>
        <w:widowControl w:val="0"/>
      </w:pPr>
      <w:r>
        <w:rPr>
          <w:b/>
        </w:rPr>
        <w:t>I</w:t>
      </w:r>
      <w:r w:rsidR="00C56301">
        <w:rPr>
          <w:b/>
        </w:rPr>
        <w:t>V. Agriculture and rural development</w:t>
      </w:r>
    </w:p>
    <w:p w:rsidR="00C56301" w:rsidRDefault="00BC5AE9">
      <w:pPr>
        <w:keepLines/>
        <w:widowControl w:val="0"/>
      </w:pPr>
      <w:r>
        <w:tab/>
      </w:r>
    </w:p>
    <w:p w:rsidR="00BC5AE9" w:rsidRDefault="00BC5AE9" w:rsidP="00BC5AE9">
      <w:pPr>
        <w:widowControl w:val="0"/>
        <w:ind w:left="720"/>
      </w:pPr>
      <w:r>
        <w:t xml:space="preserve">Yujiro </w:t>
      </w:r>
      <w:proofErr w:type="spellStart"/>
      <w:r>
        <w:t>Hayami</w:t>
      </w:r>
      <w:proofErr w:type="spellEnd"/>
      <w:r w:rsidR="0032535A">
        <w:t xml:space="preserve"> and Yoshihisa </w:t>
      </w:r>
      <w:proofErr w:type="spellStart"/>
      <w:r w:rsidR="0032535A">
        <w:t>Godo</w:t>
      </w:r>
      <w:proofErr w:type="spellEnd"/>
      <w:r>
        <w:t xml:space="preserve">, </w:t>
      </w:r>
      <w:r>
        <w:rPr>
          <w:i/>
        </w:rPr>
        <w:t xml:space="preserve">Development Economics, </w:t>
      </w:r>
      <w:r>
        <w:t>Oxford University</w:t>
      </w:r>
      <w:r w:rsidR="0032535A">
        <w:t xml:space="preserve"> Press, 2005</w:t>
      </w:r>
      <w:r w:rsidR="008A04A2">
        <w:t>, pp. 92-121.</w:t>
      </w:r>
    </w:p>
    <w:p w:rsidR="009241DA" w:rsidRDefault="009241DA" w:rsidP="00BC5AE9">
      <w:pPr>
        <w:widowControl w:val="0"/>
        <w:ind w:left="720"/>
      </w:pPr>
    </w:p>
    <w:p w:rsidR="009241DA" w:rsidRDefault="009241DA" w:rsidP="009241DA">
      <w:pPr>
        <w:keepLines/>
        <w:widowControl w:val="0"/>
        <w:ind w:left="720"/>
      </w:pPr>
      <w:r>
        <w:t xml:space="preserve">World Bank, </w:t>
      </w:r>
      <w:r>
        <w:rPr>
          <w:i/>
        </w:rPr>
        <w:t>World Development Report, 200</w:t>
      </w:r>
      <w:r w:rsidR="00943610">
        <w:rPr>
          <w:i/>
        </w:rPr>
        <w:t>8</w:t>
      </w:r>
      <w:r w:rsidR="00443BDA">
        <w:t>, Overview, Chapters 1-4</w:t>
      </w:r>
      <w:r w:rsidR="00AD4872">
        <w:t xml:space="preserve">, </w:t>
      </w:r>
      <w:r w:rsidR="00443BDA">
        <w:t>7, 9-</w:t>
      </w:r>
      <w:r w:rsidR="00AD4872">
        <w:t>11</w:t>
      </w:r>
    </w:p>
    <w:p w:rsidR="00AF5D98" w:rsidRDefault="00AF5D98" w:rsidP="009241DA">
      <w:pPr>
        <w:keepLines/>
        <w:widowControl w:val="0"/>
        <w:ind w:left="720"/>
      </w:pPr>
    </w:p>
    <w:p w:rsidR="009905CC" w:rsidRDefault="009905CC" w:rsidP="009241DA">
      <w:pPr>
        <w:keepLines/>
        <w:widowControl w:val="0"/>
        <w:ind w:left="720"/>
      </w:pPr>
      <w:r>
        <w:t xml:space="preserve">Robert </w:t>
      </w:r>
      <w:proofErr w:type="spellStart"/>
      <w:r>
        <w:t>Evenson</w:t>
      </w:r>
      <w:proofErr w:type="spellEnd"/>
      <w:r>
        <w:t xml:space="preserve"> and Douglas </w:t>
      </w:r>
      <w:proofErr w:type="spellStart"/>
      <w:r>
        <w:t>Gollin</w:t>
      </w:r>
      <w:proofErr w:type="spellEnd"/>
      <w:r>
        <w:t xml:space="preserve">, “Genetic resources, international organizations and improvement in rice varieties”, </w:t>
      </w:r>
      <w:r w:rsidRPr="009905CC">
        <w:rPr>
          <w:i/>
        </w:rPr>
        <w:t>Economic Development and Cultural Change</w:t>
      </w:r>
      <w:r>
        <w:t>, 1997.</w:t>
      </w:r>
    </w:p>
    <w:p w:rsidR="009905CC" w:rsidRDefault="009905CC" w:rsidP="009241DA">
      <w:pPr>
        <w:keepLines/>
        <w:widowControl w:val="0"/>
        <w:ind w:left="720"/>
      </w:pPr>
    </w:p>
    <w:p w:rsidR="009905CC" w:rsidRDefault="009905CC" w:rsidP="009241DA">
      <w:pPr>
        <w:keepLines/>
        <w:widowControl w:val="0"/>
        <w:ind w:left="720"/>
      </w:pPr>
      <w:r>
        <w:t xml:space="preserve">Robert </w:t>
      </w:r>
      <w:proofErr w:type="spellStart"/>
      <w:r>
        <w:t>Evenson</w:t>
      </w:r>
      <w:proofErr w:type="spellEnd"/>
      <w:r>
        <w:t xml:space="preserve"> and Douglas </w:t>
      </w:r>
      <w:proofErr w:type="spellStart"/>
      <w:r>
        <w:t>Gollin</w:t>
      </w:r>
      <w:proofErr w:type="spellEnd"/>
      <w:r>
        <w:t xml:space="preserve">, “Assessing the Impact of the Green Revolution, 1960-2000”, </w:t>
      </w:r>
      <w:r w:rsidRPr="009905CC">
        <w:rPr>
          <w:i/>
        </w:rPr>
        <w:t>Science</w:t>
      </w:r>
      <w:r>
        <w:t>, 2003.</w:t>
      </w:r>
    </w:p>
    <w:p w:rsidR="009905CC" w:rsidRDefault="009905CC" w:rsidP="009241DA">
      <w:pPr>
        <w:keepLines/>
        <w:widowControl w:val="0"/>
        <w:ind w:left="720"/>
      </w:pPr>
    </w:p>
    <w:p w:rsidR="0020732F" w:rsidRDefault="0020732F" w:rsidP="009241DA">
      <w:pPr>
        <w:keepLines/>
        <w:widowControl w:val="0"/>
        <w:ind w:left="720"/>
      </w:pPr>
      <w:r>
        <w:t>C</w:t>
      </w:r>
      <w:r w:rsidR="006D4400">
        <w:t>arl</w:t>
      </w:r>
      <w:r>
        <w:t xml:space="preserve"> </w:t>
      </w:r>
      <w:proofErr w:type="spellStart"/>
      <w:r>
        <w:t>Eicher</w:t>
      </w:r>
      <w:proofErr w:type="spellEnd"/>
      <w:r>
        <w:t>, “Institutions and the African Farmer”, CIMMYT Distinguished Lecture, 1999.</w:t>
      </w:r>
    </w:p>
    <w:p w:rsidR="009241DA" w:rsidRDefault="009241DA" w:rsidP="009241DA">
      <w:pPr>
        <w:keepLines/>
        <w:widowControl w:val="0"/>
        <w:ind w:left="720"/>
      </w:pPr>
    </w:p>
    <w:p w:rsidR="00C56301" w:rsidRDefault="00C56301">
      <w:pPr>
        <w:widowControl w:val="0"/>
      </w:pPr>
      <w:r>
        <w:tab/>
      </w:r>
      <w:r>
        <w:rPr>
          <w:i/>
        </w:rPr>
        <w:t>In more detail:</w:t>
      </w:r>
    </w:p>
    <w:p w:rsidR="00C56301" w:rsidRDefault="00C56301">
      <w:pPr>
        <w:widowControl w:val="0"/>
      </w:pPr>
    </w:p>
    <w:p w:rsidR="00C56301" w:rsidRDefault="00C56301">
      <w:pPr>
        <w:widowControl w:val="0"/>
        <w:ind w:left="720"/>
      </w:pPr>
      <w:r>
        <w:t xml:space="preserve">Thomas </w:t>
      </w:r>
      <w:proofErr w:type="spellStart"/>
      <w:r>
        <w:t>Tomich</w:t>
      </w:r>
      <w:proofErr w:type="spellEnd"/>
      <w:r>
        <w:t xml:space="preserve">, Peter </w:t>
      </w:r>
      <w:proofErr w:type="spellStart"/>
      <w:r>
        <w:t>Kilby</w:t>
      </w:r>
      <w:proofErr w:type="spellEnd"/>
      <w:r>
        <w:t xml:space="preserve"> and Bruce Johnston, </w:t>
      </w:r>
      <w:r>
        <w:rPr>
          <w:i/>
        </w:rPr>
        <w:t>Transforming Agrarian Economies</w:t>
      </w:r>
      <w:r>
        <w:t>, Chapter 2; on structural transformation</w:t>
      </w:r>
    </w:p>
    <w:p w:rsidR="00980BCF" w:rsidRDefault="00980BCF">
      <w:pPr>
        <w:widowControl w:val="0"/>
        <w:ind w:left="720"/>
      </w:pPr>
    </w:p>
    <w:p w:rsidR="00980BCF" w:rsidRPr="00806026" w:rsidRDefault="00980BCF" w:rsidP="00980BCF">
      <w:pPr>
        <w:widowControl w:val="0"/>
        <w:rPr>
          <w:b/>
        </w:rPr>
      </w:pPr>
      <w:r>
        <w:rPr>
          <w:b/>
        </w:rPr>
        <w:t>MIDTERM 2</w:t>
      </w:r>
    </w:p>
    <w:p w:rsidR="00980BCF" w:rsidRDefault="00980BCF" w:rsidP="00980BCF">
      <w:pPr>
        <w:widowControl w:val="0"/>
      </w:pPr>
    </w:p>
    <w:p w:rsidR="00C56301" w:rsidRDefault="00C56301">
      <w:pPr>
        <w:widowControl w:val="0"/>
      </w:pPr>
    </w:p>
    <w:p w:rsidR="00C56301" w:rsidRDefault="00C56301">
      <w:pPr>
        <w:widowControl w:val="0"/>
      </w:pPr>
      <w:r>
        <w:rPr>
          <w:b/>
        </w:rPr>
        <w:t>V. Investment in human capital</w:t>
      </w:r>
    </w:p>
    <w:p w:rsidR="00C56301" w:rsidRDefault="00C56301">
      <w:pPr>
        <w:widowControl w:val="0"/>
      </w:pPr>
    </w:p>
    <w:p w:rsidR="00C56301" w:rsidRDefault="00C56301">
      <w:pPr>
        <w:widowControl w:val="0"/>
        <w:ind w:left="720"/>
      </w:pPr>
      <w:r>
        <w:t xml:space="preserve">T.W. Schultz, "The Economics of Being Poor," </w:t>
      </w:r>
      <w:r>
        <w:rPr>
          <w:i/>
        </w:rPr>
        <w:t>Journal of Political Economy</w:t>
      </w:r>
      <w:r>
        <w:t>, 1980, pp.639-51</w:t>
      </w:r>
    </w:p>
    <w:p w:rsidR="00C56301" w:rsidRDefault="00C56301">
      <w:pPr>
        <w:widowControl w:val="0"/>
        <w:ind w:left="720"/>
      </w:pPr>
    </w:p>
    <w:p w:rsidR="00C56301" w:rsidRDefault="00BC5AE9" w:rsidP="00342F57">
      <w:pPr>
        <w:widowControl w:val="0"/>
      </w:pPr>
      <w:r>
        <w:tab/>
        <w:t xml:space="preserve">World Bank, </w:t>
      </w:r>
      <w:r>
        <w:rPr>
          <w:i/>
        </w:rPr>
        <w:t>World Development Report, 20</w:t>
      </w:r>
      <w:r w:rsidR="00342F57">
        <w:rPr>
          <w:i/>
        </w:rPr>
        <w:t>18</w:t>
      </w:r>
      <w:r>
        <w:t xml:space="preserve">, </w:t>
      </w:r>
      <w:r w:rsidR="00342F57">
        <w:t>Overview</w:t>
      </w:r>
    </w:p>
    <w:p w:rsidR="00E31718" w:rsidRDefault="00E31718">
      <w:pPr>
        <w:widowControl w:val="0"/>
      </w:pPr>
    </w:p>
    <w:p w:rsidR="00E31718" w:rsidRPr="00342F57" w:rsidRDefault="00342F57" w:rsidP="00342F57">
      <w:pPr>
        <w:widowControl w:val="0"/>
        <w:ind w:left="720"/>
      </w:pPr>
      <w:proofErr w:type="spellStart"/>
      <w:r>
        <w:t>Tesa</w:t>
      </w:r>
      <w:proofErr w:type="spellEnd"/>
      <w:r>
        <w:t xml:space="preserve"> Bold, Deon </w:t>
      </w:r>
      <w:proofErr w:type="spellStart"/>
      <w:r>
        <w:t>Filmer</w:t>
      </w:r>
      <w:proofErr w:type="spellEnd"/>
      <w:r>
        <w:t xml:space="preserve">, Gayle Martin, Ezequiel Molina, Brian Stacy, Christophe </w:t>
      </w:r>
      <w:proofErr w:type="spellStart"/>
      <w:r>
        <w:t>Rockmore</w:t>
      </w:r>
      <w:proofErr w:type="spellEnd"/>
      <w:r>
        <w:t xml:space="preserve">, </w:t>
      </w:r>
      <w:proofErr w:type="spellStart"/>
      <w:r>
        <w:t>Jakob</w:t>
      </w:r>
      <w:proofErr w:type="spellEnd"/>
      <w:r>
        <w:t xml:space="preserve"> </w:t>
      </w:r>
      <w:proofErr w:type="spellStart"/>
      <w:r>
        <w:t>Svensson</w:t>
      </w:r>
      <w:proofErr w:type="spellEnd"/>
      <w:r>
        <w:t xml:space="preserve"> and </w:t>
      </w:r>
      <w:proofErr w:type="spellStart"/>
      <w:r>
        <w:t>Waly</w:t>
      </w:r>
      <w:proofErr w:type="spellEnd"/>
      <w:r>
        <w:t xml:space="preserve"> Wane, 2017.  Enrollment without learning: Teacher effort, knowledge and skill in primary schools in Africa”, </w:t>
      </w:r>
      <w:r>
        <w:rPr>
          <w:i/>
        </w:rPr>
        <w:t>Journal of Economic Perspectives</w:t>
      </w:r>
      <w:r>
        <w:t>, 31(4):185-203.</w:t>
      </w:r>
    </w:p>
    <w:p w:rsidR="002D7E3E" w:rsidRDefault="002D7E3E">
      <w:pPr>
        <w:widowControl w:val="0"/>
      </w:pPr>
    </w:p>
    <w:p w:rsidR="002D7E3E" w:rsidRDefault="002D7E3E" w:rsidP="000679AD">
      <w:pPr>
        <w:widowControl w:val="0"/>
        <w:ind w:left="720"/>
      </w:pPr>
      <w:proofErr w:type="spellStart"/>
      <w:r>
        <w:t>Schaffner</w:t>
      </w:r>
      <w:proofErr w:type="spellEnd"/>
      <w:r>
        <w:t>, Chapter 15, Targeted Transfer Programs</w:t>
      </w:r>
      <w:r w:rsidR="00313057">
        <w:t>; Chapter 19, Education; Chapter 22, Public Health, Health Care and Health Insurance</w:t>
      </w:r>
    </w:p>
    <w:p w:rsidR="005969E1" w:rsidRDefault="005969E1">
      <w:pPr>
        <w:widowControl w:val="0"/>
      </w:pPr>
    </w:p>
    <w:p w:rsidR="005969E1" w:rsidRPr="00BC5AE9" w:rsidRDefault="005969E1">
      <w:pPr>
        <w:widowControl w:val="0"/>
      </w:pPr>
      <w:r>
        <w:lastRenderedPageBreak/>
        <w:tab/>
        <w:t>Worl</w:t>
      </w:r>
      <w:r w:rsidR="001118DB">
        <w:t>d Development Report, 2012, Chapter</w:t>
      </w:r>
      <w:r>
        <w:t xml:space="preserve"> 3: Education and Health</w:t>
      </w:r>
    </w:p>
    <w:p w:rsidR="00C56301" w:rsidRDefault="00C56301">
      <w:pPr>
        <w:widowControl w:val="0"/>
      </w:pPr>
    </w:p>
    <w:p w:rsidR="00C56301" w:rsidRDefault="00C56301">
      <w:pPr>
        <w:widowControl w:val="0"/>
      </w:pPr>
      <w:r>
        <w:tab/>
      </w:r>
      <w:r>
        <w:rPr>
          <w:i/>
        </w:rPr>
        <w:t>In more detail:</w:t>
      </w:r>
    </w:p>
    <w:p w:rsidR="00C56301" w:rsidRDefault="00C56301">
      <w:pPr>
        <w:widowControl w:val="0"/>
      </w:pPr>
    </w:p>
    <w:p w:rsidR="00986135" w:rsidRDefault="003A684D" w:rsidP="00986135">
      <w:pPr>
        <w:widowControl w:val="0"/>
        <w:ind w:left="720"/>
      </w:pPr>
      <w:r>
        <w:t>T. Paul Schultz, “Population and Health Policies”, 2009</w:t>
      </w:r>
    </w:p>
    <w:p w:rsidR="00986135" w:rsidRDefault="00986135" w:rsidP="00986135">
      <w:pPr>
        <w:widowControl w:val="0"/>
      </w:pPr>
    </w:p>
    <w:p w:rsidR="001D015F" w:rsidRDefault="001D015F" w:rsidP="00986135">
      <w:pPr>
        <w:widowControl w:val="0"/>
        <w:ind w:left="720"/>
      </w:pPr>
      <w:r>
        <w:t>T. Paul Schultz, “The Gender and Generational Consequences of the Demographic Transition and Population Policies”, 2009</w:t>
      </w:r>
    </w:p>
    <w:p w:rsidR="001D015F" w:rsidRDefault="001D015F" w:rsidP="00986135">
      <w:pPr>
        <w:widowControl w:val="0"/>
        <w:ind w:left="720"/>
      </w:pPr>
    </w:p>
    <w:p w:rsidR="00986135" w:rsidRDefault="00986135" w:rsidP="00986135">
      <w:pPr>
        <w:widowControl w:val="0"/>
        <w:ind w:left="720"/>
      </w:pPr>
      <w:r>
        <w:t xml:space="preserve">Eric </w:t>
      </w:r>
      <w:proofErr w:type="spellStart"/>
      <w:r>
        <w:t>Hanushek</w:t>
      </w:r>
      <w:proofErr w:type="spellEnd"/>
      <w:r>
        <w:t xml:space="preserve">, “Why quality matters in education”, </w:t>
      </w:r>
      <w:r w:rsidRPr="004D1D72">
        <w:rPr>
          <w:i/>
        </w:rPr>
        <w:t>Finance and Development</w:t>
      </w:r>
      <w:r>
        <w:t>, June 2005.</w:t>
      </w:r>
    </w:p>
    <w:p w:rsidR="00440103" w:rsidRDefault="00440103" w:rsidP="00986135">
      <w:pPr>
        <w:widowControl w:val="0"/>
        <w:ind w:left="720"/>
      </w:pPr>
    </w:p>
    <w:p w:rsidR="00440103" w:rsidRPr="00440103" w:rsidRDefault="00440103" w:rsidP="00986135">
      <w:pPr>
        <w:widowControl w:val="0"/>
        <w:ind w:left="720"/>
      </w:pPr>
      <w:proofErr w:type="spellStart"/>
      <w:r>
        <w:t>Emannuel</w:t>
      </w:r>
      <w:proofErr w:type="spellEnd"/>
      <w:r>
        <w:t xml:space="preserve"> Jimenez, Elizabeth King and </w:t>
      </w:r>
      <w:proofErr w:type="spellStart"/>
      <w:r>
        <w:t>Jee</w:t>
      </w:r>
      <w:proofErr w:type="spellEnd"/>
      <w:r>
        <w:t xml:space="preserve">-Peng Tan, “Making the Grade”, </w:t>
      </w:r>
      <w:r>
        <w:rPr>
          <w:i/>
        </w:rPr>
        <w:t>Finance and Development</w:t>
      </w:r>
      <w:r>
        <w:t>, March 2012.</w:t>
      </w:r>
    </w:p>
    <w:p w:rsidR="00986135" w:rsidRDefault="00986135" w:rsidP="00986135">
      <w:pPr>
        <w:widowControl w:val="0"/>
      </w:pPr>
    </w:p>
    <w:p w:rsidR="00F4327D" w:rsidRDefault="00F4327D" w:rsidP="005910A2">
      <w:pPr>
        <w:widowControl w:val="0"/>
        <w:ind w:left="720" w:hanging="720"/>
      </w:pPr>
      <w:r>
        <w:tab/>
        <w:t xml:space="preserve">David Cutler, Angus Deaton and Adriana Lleras-Muney, 2006, “The determinants of mortality”, </w:t>
      </w:r>
      <w:r>
        <w:rPr>
          <w:i/>
        </w:rPr>
        <w:t xml:space="preserve">Journal of Economic </w:t>
      </w:r>
      <w:proofErr w:type="spellStart"/>
      <w:r>
        <w:rPr>
          <w:i/>
        </w:rPr>
        <w:t>Perspecitves</w:t>
      </w:r>
      <w:proofErr w:type="spellEnd"/>
      <w:r>
        <w:t>, 20(3):97-120</w:t>
      </w:r>
    </w:p>
    <w:p w:rsidR="00986B67" w:rsidRDefault="00986B67" w:rsidP="005910A2">
      <w:pPr>
        <w:widowControl w:val="0"/>
        <w:ind w:left="720" w:hanging="720"/>
      </w:pPr>
    </w:p>
    <w:p w:rsidR="00EB507D" w:rsidRPr="00BE3F17" w:rsidRDefault="00986B67" w:rsidP="00F4327D">
      <w:pPr>
        <w:widowControl w:val="0"/>
        <w:ind w:left="720" w:hanging="720"/>
      </w:pPr>
      <w:r>
        <w:tab/>
      </w:r>
      <w:r w:rsidR="00BE3F17">
        <w:t xml:space="preserve">Jorge </w:t>
      </w:r>
      <w:proofErr w:type="spellStart"/>
      <w:r w:rsidR="00BE3F17">
        <w:t>Coarasa</w:t>
      </w:r>
      <w:proofErr w:type="spellEnd"/>
      <w:r w:rsidR="00BE3F17">
        <w:t xml:space="preserve">, </w:t>
      </w:r>
      <w:proofErr w:type="spellStart"/>
      <w:r w:rsidR="00BE3F17">
        <w:t>Jishnu</w:t>
      </w:r>
      <w:proofErr w:type="spellEnd"/>
      <w:r w:rsidR="00BE3F17">
        <w:t xml:space="preserve"> Das and Jeffrey Hammer, “Private vs. Public”, </w:t>
      </w:r>
      <w:r w:rsidR="00BE3F17">
        <w:rPr>
          <w:i/>
        </w:rPr>
        <w:t>Finance and Development</w:t>
      </w:r>
      <w:r w:rsidR="00BE3F17">
        <w:t>, Dec 2014.</w:t>
      </w:r>
    </w:p>
    <w:p w:rsidR="00BE3F17" w:rsidRDefault="00BE3F17" w:rsidP="00F4327D">
      <w:pPr>
        <w:widowControl w:val="0"/>
        <w:ind w:left="720" w:hanging="720"/>
      </w:pPr>
    </w:p>
    <w:p w:rsidR="00EB507D" w:rsidRDefault="00EB507D" w:rsidP="00F4327D">
      <w:pPr>
        <w:widowControl w:val="0"/>
        <w:ind w:left="720" w:hanging="720"/>
      </w:pPr>
      <w:r>
        <w:tab/>
      </w:r>
      <w:proofErr w:type="spellStart"/>
      <w:r>
        <w:t>Dupas</w:t>
      </w:r>
      <w:proofErr w:type="spellEnd"/>
      <w:r>
        <w:t xml:space="preserve">, </w:t>
      </w:r>
      <w:proofErr w:type="spellStart"/>
      <w:r>
        <w:t>Pascaline</w:t>
      </w:r>
      <w:proofErr w:type="spellEnd"/>
      <w:r>
        <w:t xml:space="preserve">, 2014. “Getting Essential Health Products to Their End Users: Subsidize but </w:t>
      </w:r>
      <w:r w:rsidR="00EB4E7C">
        <w:t>How Much?”</w:t>
      </w:r>
      <w:r>
        <w:t xml:space="preserve"> </w:t>
      </w:r>
      <w:r>
        <w:rPr>
          <w:i/>
        </w:rPr>
        <w:t>Science</w:t>
      </w:r>
      <w:r>
        <w:t>, 345(6202):1279-1281.</w:t>
      </w:r>
    </w:p>
    <w:p w:rsidR="00980BCF" w:rsidRDefault="00980BCF" w:rsidP="00F4327D">
      <w:pPr>
        <w:widowControl w:val="0"/>
        <w:ind w:left="720" w:hanging="720"/>
      </w:pPr>
    </w:p>
    <w:p w:rsidR="00980BCF" w:rsidRDefault="00980BCF" w:rsidP="00F4327D">
      <w:pPr>
        <w:widowControl w:val="0"/>
        <w:ind w:left="720" w:hanging="720"/>
      </w:pPr>
      <w:r>
        <w:tab/>
        <w:t xml:space="preserve">Hanna, </w:t>
      </w:r>
      <w:proofErr w:type="spellStart"/>
      <w:r>
        <w:t>Rema</w:t>
      </w:r>
      <w:proofErr w:type="spellEnd"/>
      <w:r>
        <w:t xml:space="preserve"> and Paulina Oliva, 2016. “Implications of Climate Change for Children in Developing Countries”, in </w:t>
      </w:r>
      <w:r w:rsidRPr="00980BCF">
        <w:rPr>
          <w:i/>
        </w:rPr>
        <w:t>The Future of Children</w:t>
      </w:r>
      <w:r>
        <w:t>, 26(1):115-132 Spring 2016.</w:t>
      </w:r>
    </w:p>
    <w:p w:rsidR="007A7F46" w:rsidRDefault="007A7F46" w:rsidP="00F4327D">
      <w:pPr>
        <w:widowControl w:val="0"/>
        <w:ind w:left="720" w:hanging="720"/>
      </w:pPr>
    </w:p>
    <w:p w:rsidR="007A7F46" w:rsidRPr="007A7F46" w:rsidRDefault="007A7F46" w:rsidP="00F4327D">
      <w:pPr>
        <w:widowControl w:val="0"/>
        <w:ind w:left="720" w:hanging="720"/>
      </w:pPr>
      <w:r>
        <w:tab/>
      </w:r>
      <w:proofErr w:type="spellStart"/>
      <w:r>
        <w:t>Rohini</w:t>
      </w:r>
      <w:proofErr w:type="spellEnd"/>
      <w:r>
        <w:t xml:space="preserve"> </w:t>
      </w:r>
      <w:proofErr w:type="spellStart"/>
      <w:r>
        <w:t>Pande</w:t>
      </w:r>
      <w:proofErr w:type="spellEnd"/>
      <w:r>
        <w:t xml:space="preserve"> and </w:t>
      </w:r>
      <w:proofErr w:type="spellStart"/>
      <w:r>
        <w:t>Petia</w:t>
      </w:r>
      <w:proofErr w:type="spellEnd"/>
      <w:r>
        <w:t xml:space="preserve"> </w:t>
      </w:r>
      <w:proofErr w:type="spellStart"/>
      <w:r>
        <w:t>Topalova</w:t>
      </w:r>
      <w:proofErr w:type="spellEnd"/>
      <w:r>
        <w:t xml:space="preserve">, “Women in Charge”, </w:t>
      </w:r>
      <w:r>
        <w:rPr>
          <w:i/>
        </w:rPr>
        <w:t>Finance and Development</w:t>
      </w:r>
      <w:r>
        <w:t>, June 2013.</w:t>
      </w:r>
    </w:p>
    <w:p w:rsidR="00775CD7" w:rsidRDefault="00775CD7">
      <w:pPr>
        <w:widowControl w:val="0"/>
        <w:ind w:left="720"/>
      </w:pPr>
    </w:p>
    <w:p w:rsidR="00094ACD" w:rsidRDefault="00094ACD">
      <w:pPr>
        <w:widowControl w:val="0"/>
        <w:rPr>
          <w:b/>
        </w:rPr>
      </w:pPr>
    </w:p>
    <w:p w:rsidR="00C56301" w:rsidRDefault="00C56301">
      <w:pPr>
        <w:widowControl w:val="0"/>
      </w:pPr>
      <w:r>
        <w:rPr>
          <w:b/>
        </w:rPr>
        <w:t>VI. Population and development</w:t>
      </w:r>
    </w:p>
    <w:p w:rsidR="00C56301" w:rsidRDefault="00C56301">
      <w:pPr>
        <w:widowControl w:val="0"/>
      </w:pPr>
    </w:p>
    <w:p w:rsidR="00806026" w:rsidRDefault="00C33F3C" w:rsidP="006349F2">
      <w:pPr>
        <w:widowControl w:val="0"/>
        <w:ind w:left="720"/>
      </w:pPr>
      <w:r>
        <w:t xml:space="preserve">David Lam, </w:t>
      </w:r>
      <w:r w:rsidR="009A1B78">
        <w:t xml:space="preserve">2011, “How the World Survived the Population Bomb: Lessons from 50 Years of Extraordinary Demographic History”, </w:t>
      </w:r>
      <w:r>
        <w:t>Pr</w:t>
      </w:r>
      <w:r w:rsidR="009A1B78">
        <w:t>esidential Address to PAA, 2011</w:t>
      </w:r>
    </w:p>
    <w:p w:rsidR="00C33F3C" w:rsidRDefault="00C33F3C" w:rsidP="00806026">
      <w:pPr>
        <w:widowControl w:val="0"/>
      </w:pPr>
    </w:p>
    <w:p w:rsidR="00C56301" w:rsidRDefault="00C56301">
      <w:pPr>
        <w:widowControl w:val="0"/>
      </w:pPr>
    </w:p>
    <w:p w:rsidR="00C415B8" w:rsidRDefault="00C415B8" w:rsidP="00F05C0F">
      <w:pPr>
        <w:autoSpaceDE w:val="0"/>
        <w:autoSpaceDN w:val="0"/>
        <w:adjustRightInd w:val="0"/>
        <w:rPr>
          <w:rFonts w:ascii="TimesNewRomanPSMT" w:hAnsi="TimesNewRomanPSMT" w:cs="TimesNewRomanPSMT"/>
          <w:b/>
          <w:szCs w:val="24"/>
        </w:rPr>
      </w:pPr>
    </w:p>
    <w:p w:rsidR="00F05C0F" w:rsidRPr="00F05C0F" w:rsidRDefault="00F05C0F" w:rsidP="00F05C0F">
      <w:pPr>
        <w:autoSpaceDE w:val="0"/>
        <w:autoSpaceDN w:val="0"/>
        <w:adjustRightInd w:val="0"/>
      </w:pPr>
      <w:r>
        <w:rPr>
          <w:rFonts w:ascii="TimesNewRomanPSMT" w:hAnsi="TimesNewRomanPSMT" w:cs="TimesNewRomanPSMT"/>
          <w:b/>
          <w:szCs w:val="24"/>
        </w:rPr>
        <w:t xml:space="preserve">Final exam </w:t>
      </w:r>
      <w:r w:rsidR="00597640">
        <w:rPr>
          <w:rFonts w:ascii="TimesNewRomanPSMT" w:hAnsi="TimesNewRomanPSMT" w:cs="TimesNewRomanPSMT"/>
          <w:szCs w:val="24"/>
        </w:rPr>
        <w:t>Thursday May 7</w:t>
      </w:r>
      <w:r w:rsidR="00D95C20">
        <w:rPr>
          <w:rFonts w:ascii="TimesNewRomanPSMT" w:hAnsi="TimesNewRomanPSMT" w:cs="TimesNewRomanPSMT"/>
          <w:szCs w:val="24"/>
        </w:rPr>
        <w:t>,</w:t>
      </w:r>
      <w:r>
        <w:rPr>
          <w:rFonts w:ascii="TimesNewRomanPSMT" w:hAnsi="TimesNewRomanPSMT" w:cs="TimesNewRomanPSMT"/>
          <w:szCs w:val="24"/>
        </w:rPr>
        <w:t xml:space="preserve"> 2-4PM</w:t>
      </w:r>
      <w:r w:rsidR="00D95C20">
        <w:rPr>
          <w:rFonts w:ascii="TimesNewRomanPSMT" w:hAnsi="TimesNewRomanPSMT" w:cs="TimesNewRomanPSMT"/>
          <w:szCs w:val="24"/>
        </w:rPr>
        <w:t>, regular classroom</w:t>
      </w:r>
    </w:p>
    <w:p w:rsidR="00794FD5" w:rsidRPr="00794FD5" w:rsidRDefault="00794FD5" w:rsidP="00FC7DC4">
      <w:pPr>
        <w:widowControl w:val="0"/>
        <w:ind w:left="720" w:hanging="720"/>
        <w:outlineLvl w:val="0"/>
      </w:pPr>
      <w:r>
        <w:t xml:space="preserve"> </w:t>
      </w:r>
    </w:p>
    <w:p w:rsidR="008917B7" w:rsidRDefault="008917B7" w:rsidP="00BC5AE9">
      <w:pPr>
        <w:widowControl w:val="0"/>
        <w:rPr>
          <w:b/>
        </w:rPr>
      </w:pPr>
    </w:p>
    <w:sectPr w:rsidR="008917B7" w:rsidSect="00155C11">
      <w:headerReference w:type="even" r:id="rId17"/>
      <w:headerReference w:type="default" r:id="rId18"/>
      <w:footnotePr>
        <w:numFmt w:val="lowerLetter"/>
      </w:footnotePr>
      <w:endnotePr>
        <w:numFmt w:val="lowerLetter"/>
      </w:endnotePr>
      <w:pgSz w:w="12240" w:h="15840"/>
      <w:pgMar w:top="192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8C3" w:rsidRDefault="00A378C3">
      <w:r>
        <w:separator/>
      </w:r>
    </w:p>
  </w:endnote>
  <w:endnote w:type="continuationSeparator" w:id="0">
    <w:p w:rsidR="00A378C3" w:rsidRDefault="00A3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8C3" w:rsidRDefault="00A378C3">
      <w:r>
        <w:separator/>
      </w:r>
    </w:p>
  </w:footnote>
  <w:footnote w:type="continuationSeparator" w:id="0">
    <w:p w:rsidR="00A378C3" w:rsidRDefault="00A37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D6B" w:rsidRDefault="000C2D6B">
    <w:pPr>
      <w:widowControl w:val="0"/>
      <w:tabs>
        <w:tab w:val="center" w:pos="4680"/>
        <w:tab w:val="right" w:pos="9360"/>
      </w:tabs>
    </w:pPr>
    <w:r>
      <w:tab/>
    </w:r>
    <w:r>
      <w:rPr>
        <w:b/>
      </w:rPr>
      <w:t>ECONOMICS 340</w:t>
    </w:r>
    <w:r>
      <w:rPr>
        <w:b/>
      </w:rPr>
      <w:tab/>
    </w:r>
    <w:r>
      <w:pgNum/>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D6B" w:rsidRDefault="000C2D6B">
    <w:pPr>
      <w:widowControl w:val="0"/>
      <w:tabs>
        <w:tab w:val="center" w:pos="4680"/>
        <w:tab w:val="right" w:pos="9360"/>
      </w:tabs>
      <w:spacing w:line="0" w:lineRule="atLeast"/>
    </w:pPr>
    <w:r>
      <w:tab/>
    </w:r>
    <w:r>
      <w:rPr>
        <w:b/>
      </w:rPr>
      <w:t>ECONOMICS 340</w:t>
    </w:r>
    <w:r>
      <w:rPr>
        <w:b/>
      </w:rPr>
      <w:tab/>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601"/>
    <w:rsid w:val="00026901"/>
    <w:rsid w:val="0003030F"/>
    <w:rsid w:val="000508FC"/>
    <w:rsid w:val="00057671"/>
    <w:rsid w:val="00066528"/>
    <w:rsid w:val="00067403"/>
    <w:rsid w:val="000679AD"/>
    <w:rsid w:val="00084831"/>
    <w:rsid w:val="000870CB"/>
    <w:rsid w:val="00094ACD"/>
    <w:rsid w:val="000A204A"/>
    <w:rsid w:val="000C2D6B"/>
    <w:rsid w:val="000C799C"/>
    <w:rsid w:val="000F1487"/>
    <w:rsid w:val="000F2183"/>
    <w:rsid w:val="001118DB"/>
    <w:rsid w:val="00116684"/>
    <w:rsid w:val="0012489A"/>
    <w:rsid w:val="001342C9"/>
    <w:rsid w:val="00140DC6"/>
    <w:rsid w:val="001437A7"/>
    <w:rsid w:val="00155C11"/>
    <w:rsid w:val="001620D5"/>
    <w:rsid w:val="0016247F"/>
    <w:rsid w:val="00177BBA"/>
    <w:rsid w:val="001A4C7D"/>
    <w:rsid w:val="001A7934"/>
    <w:rsid w:val="001B1D81"/>
    <w:rsid w:val="001C24BB"/>
    <w:rsid w:val="001C50A0"/>
    <w:rsid w:val="001D015F"/>
    <w:rsid w:val="001D6167"/>
    <w:rsid w:val="001F732D"/>
    <w:rsid w:val="0020732F"/>
    <w:rsid w:val="00215EA3"/>
    <w:rsid w:val="00224B3F"/>
    <w:rsid w:val="00236848"/>
    <w:rsid w:val="00237E97"/>
    <w:rsid w:val="00240C23"/>
    <w:rsid w:val="002412C4"/>
    <w:rsid w:val="0024135B"/>
    <w:rsid w:val="002504DD"/>
    <w:rsid w:val="002618D4"/>
    <w:rsid w:val="00273E2A"/>
    <w:rsid w:val="0027683B"/>
    <w:rsid w:val="0028010F"/>
    <w:rsid w:val="002A2901"/>
    <w:rsid w:val="002A679F"/>
    <w:rsid w:val="002D0B19"/>
    <w:rsid w:val="002D75AB"/>
    <w:rsid w:val="002D7E3E"/>
    <w:rsid w:val="002F69C2"/>
    <w:rsid w:val="00301E33"/>
    <w:rsid w:val="003028C1"/>
    <w:rsid w:val="003107F7"/>
    <w:rsid w:val="00313057"/>
    <w:rsid w:val="0032535A"/>
    <w:rsid w:val="00326EA1"/>
    <w:rsid w:val="00337C9F"/>
    <w:rsid w:val="00342F57"/>
    <w:rsid w:val="0037742A"/>
    <w:rsid w:val="003971B5"/>
    <w:rsid w:val="003A4284"/>
    <w:rsid w:val="003A684D"/>
    <w:rsid w:val="003A70E3"/>
    <w:rsid w:val="003D67FA"/>
    <w:rsid w:val="003E38E5"/>
    <w:rsid w:val="003E5B6A"/>
    <w:rsid w:val="003F400B"/>
    <w:rsid w:val="003F7A15"/>
    <w:rsid w:val="00401021"/>
    <w:rsid w:val="004068F0"/>
    <w:rsid w:val="00435AF9"/>
    <w:rsid w:val="00440103"/>
    <w:rsid w:val="00443BDA"/>
    <w:rsid w:val="00447DD8"/>
    <w:rsid w:val="00450EAB"/>
    <w:rsid w:val="00476BFD"/>
    <w:rsid w:val="004845BB"/>
    <w:rsid w:val="004A5FA9"/>
    <w:rsid w:val="004D47B9"/>
    <w:rsid w:val="004E051A"/>
    <w:rsid w:val="005070DA"/>
    <w:rsid w:val="0054575B"/>
    <w:rsid w:val="00574878"/>
    <w:rsid w:val="005876EF"/>
    <w:rsid w:val="005910A2"/>
    <w:rsid w:val="00592791"/>
    <w:rsid w:val="005969E1"/>
    <w:rsid w:val="00597640"/>
    <w:rsid w:val="005A32C8"/>
    <w:rsid w:val="005B0E0C"/>
    <w:rsid w:val="005D49F2"/>
    <w:rsid w:val="005E5656"/>
    <w:rsid w:val="005F5DF1"/>
    <w:rsid w:val="00601569"/>
    <w:rsid w:val="00625EFB"/>
    <w:rsid w:val="00633789"/>
    <w:rsid w:val="006349F2"/>
    <w:rsid w:val="00654468"/>
    <w:rsid w:val="00662D15"/>
    <w:rsid w:val="00664A8A"/>
    <w:rsid w:val="00673393"/>
    <w:rsid w:val="00674ED1"/>
    <w:rsid w:val="0068028B"/>
    <w:rsid w:val="006969F4"/>
    <w:rsid w:val="006B0844"/>
    <w:rsid w:val="006D4400"/>
    <w:rsid w:val="006D636A"/>
    <w:rsid w:val="006E0E98"/>
    <w:rsid w:val="006E15F4"/>
    <w:rsid w:val="006E1AFF"/>
    <w:rsid w:val="006E5FB0"/>
    <w:rsid w:val="006F5FA3"/>
    <w:rsid w:val="00744A73"/>
    <w:rsid w:val="007515EC"/>
    <w:rsid w:val="00772CB8"/>
    <w:rsid w:val="00775CD7"/>
    <w:rsid w:val="0079074A"/>
    <w:rsid w:val="00794FD5"/>
    <w:rsid w:val="00795A24"/>
    <w:rsid w:val="007A7F46"/>
    <w:rsid w:val="007E5387"/>
    <w:rsid w:val="007F1F2C"/>
    <w:rsid w:val="00806026"/>
    <w:rsid w:val="008171EA"/>
    <w:rsid w:val="0083260C"/>
    <w:rsid w:val="00842905"/>
    <w:rsid w:val="00852FCA"/>
    <w:rsid w:val="00862868"/>
    <w:rsid w:val="0087640E"/>
    <w:rsid w:val="008772D7"/>
    <w:rsid w:val="008917B7"/>
    <w:rsid w:val="00893193"/>
    <w:rsid w:val="008A04A2"/>
    <w:rsid w:val="008A121D"/>
    <w:rsid w:val="008A70D1"/>
    <w:rsid w:val="008B6397"/>
    <w:rsid w:val="008F1FB7"/>
    <w:rsid w:val="0091262D"/>
    <w:rsid w:val="009241DA"/>
    <w:rsid w:val="00926FD3"/>
    <w:rsid w:val="00927AAD"/>
    <w:rsid w:val="00930BDA"/>
    <w:rsid w:val="00932523"/>
    <w:rsid w:val="00943610"/>
    <w:rsid w:val="00945FCE"/>
    <w:rsid w:val="00980BCF"/>
    <w:rsid w:val="00983D8C"/>
    <w:rsid w:val="00986135"/>
    <w:rsid w:val="009864BA"/>
    <w:rsid w:val="00986B67"/>
    <w:rsid w:val="009905CC"/>
    <w:rsid w:val="00992601"/>
    <w:rsid w:val="00992DDB"/>
    <w:rsid w:val="009A1B78"/>
    <w:rsid w:val="009B2380"/>
    <w:rsid w:val="009B516E"/>
    <w:rsid w:val="009D0502"/>
    <w:rsid w:val="009D7CAD"/>
    <w:rsid w:val="009E2570"/>
    <w:rsid w:val="009F17BF"/>
    <w:rsid w:val="00A0000E"/>
    <w:rsid w:val="00A002CF"/>
    <w:rsid w:val="00A17185"/>
    <w:rsid w:val="00A17258"/>
    <w:rsid w:val="00A374BC"/>
    <w:rsid w:val="00A378C3"/>
    <w:rsid w:val="00A6501B"/>
    <w:rsid w:val="00A77B75"/>
    <w:rsid w:val="00A83F9E"/>
    <w:rsid w:val="00A85A7A"/>
    <w:rsid w:val="00A93A0E"/>
    <w:rsid w:val="00AA1B09"/>
    <w:rsid w:val="00AA2623"/>
    <w:rsid w:val="00AA7141"/>
    <w:rsid w:val="00AB1794"/>
    <w:rsid w:val="00AB1FCE"/>
    <w:rsid w:val="00AC5663"/>
    <w:rsid w:val="00AD4872"/>
    <w:rsid w:val="00AE6213"/>
    <w:rsid w:val="00AF0D63"/>
    <w:rsid w:val="00AF3CB2"/>
    <w:rsid w:val="00AF4552"/>
    <w:rsid w:val="00AF5252"/>
    <w:rsid w:val="00AF5D98"/>
    <w:rsid w:val="00B10FA5"/>
    <w:rsid w:val="00B35D94"/>
    <w:rsid w:val="00B40254"/>
    <w:rsid w:val="00B56134"/>
    <w:rsid w:val="00B8294B"/>
    <w:rsid w:val="00B8785B"/>
    <w:rsid w:val="00B95ED1"/>
    <w:rsid w:val="00BB090B"/>
    <w:rsid w:val="00BC5AE9"/>
    <w:rsid w:val="00BE3F17"/>
    <w:rsid w:val="00BF6D55"/>
    <w:rsid w:val="00C135D8"/>
    <w:rsid w:val="00C16B91"/>
    <w:rsid w:val="00C33F3C"/>
    <w:rsid w:val="00C415B8"/>
    <w:rsid w:val="00C435D2"/>
    <w:rsid w:val="00C4717C"/>
    <w:rsid w:val="00C56301"/>
    <w:rsid w:val="00C6209A"/>
    <w:rsid w:val="00C65ACF"/>
    <w:rsid w:val="00C77418"/>
    <w:rsid w:val="00C92CB3"/>
    <w:rsid w:val="00C97699"/>
    <w:rsid w:val="00CC1FEA"/>
    <w:rsid w:val="00D01CAB"/>
    <w:rsid w:val="00D04239"/>
    <w:rsid w:val="00D14DBE"/>
    <w:rsid w:val="00D3233F"/>
    <w:rsid w:val="00D3343A"/>
    <w:rsid w:val="00D3493D"/>
    <w:rsid w:val="00D507D1"/>
    <w:rsid w:val="00D66238"/>
    <w:rsid w:val="00D95C20"/>
    <w:rsid w:val="00DA2AFA"/>
    <w:rsid w:val="00DA7F4E"/>
    <w:rsid w:val="00DB2AC8"/>
    <w:rsid w:val="00DB557F"/>
    <w:rsid w:val="00DC0C65"/>
    <w:rsid w:val="00DF48B4"/>
    <w:rsid w:val="00E03029"/>
    <w:rsid w:val="00E17626"/>
    <w:rsid w:val="00E22849"/>
    <w:rsid w:val="00E2750E"/>
    <w:rsid w:val="00E31718"/>
    <w:rsid w:val="00E3618E"/>
    <w:rsid w:val="00E42AF7"/>
    <w:rsid w:val="00E61FE7"/>
    <w:rsid w:val="00E76EA7"/>
    <w:rsid w:val="00E778A0"/>
    <w:rsid w:val="00E925A6"/>
    <w:rsid w:val="00E9408D"/>
    <w:rsid w:val="00EB4E7C"/>
    <w:rsid w:val="00EB507D"/>
    <w:rsid w:val="00EB61EB"/>
    <w:rsid w:val="00EC606F"/>
    <w:rsid w:val="00EE7A36"/>
    <w:rsid w:val="00F05C0F"/>
    <w:rsid w:val="00F0639E"/>
    <w:rsid w:val="00F21847"/>
    <w:rsid w:val="00F4327D"/>
    <w:rsid w:val="00F55D08"/>
    <w:rsid w:val="00F56711"/>
    <w:rsid w:val="00F57F7E"/>
    <w:rsid w:val="00F647CB"/>
    <w:rsid w:val="00F934F4"/>
    <w:rsid w:val="00F97F61"/>
    <w:rsid w:val="00FB62A4"/>
    <w:rsid w:val="00FC7DC4"/>
    <w:rsid w:val="00FD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1ADB920"/>
  <w15:docId w15:val="{A8F9A52C-BB81-42E6-8DE0-80BACDE0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C11"/>
    <w:rPr>
      <w:sz w:val="24"/>
    </w:rPr>
  </w:style>
  <w:style w:type="paragraph" w:styleId="Heading1">
    <w:name w:val="heading 1"/>
    <w:basedOn w:val="Normal"/>
    <w:next w:val="Normal"/>
    <w:qFormat/>
    <w:rsid w:val="00155C11"/>
    <w:pPr>
      <w:keepNext/>
      <w:keepLines/>
      <w:widowControl w:val="0"/>
      <w:outlineLvl w:val="0"/>
    </w:pPr>
    <w:rPr>
      <w:b/>
      <w:bCs/>
    </w:rPr>
  </w:style>
  <w:style w:type="paragraph" w:styleId="Heading2">
    <w:name w:val="heading 2"/>
    <w:basedOn w:val="Normal"/>
    <w:next w:val="Normal"/>
    <w:link w:val="Heading2Char"/>
    <w:semiHidden/>
    <w:unhideWhenUsed/>
    <w:qFormat/>
    <w:rsid w:val="00DB2AC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5C11"/>
    <w:rPr>
      <w:color w:val="0000FF"/>
      <w:u w:val="single"/>
    </w:rPr>
  </w:style>
  <w:style w:type="paragraph" w:styleId="Footer">
    <w:name w:val="footer"/>
    <w:basedOn w:val="Normal"/>
    <w:rsid w:val="00E42AF7"/>
    <w:pPr>
      <w:tabs>
        <w:tab w:val="center" w:pos="4320"/>
        <w:tab w:val="right" w:pos="8640"/>
      </w:tabs>
    </w:pPr>
  </w:style>
  <w:style w:type="paragraph" w:styleId="Header">
    <w:name w:val="header"/>
    <w:basedOn w:val="Normal"/>
    <w:rsid w:val="00E42AF7"/>
    <w:pPr>
      <w:tabs>
        <w:tab w:val="center" w:pos="4320"/>
        <w:tab w:val="right" w:pos="8640"/>
      </w:tabs>
    </w:pPr>
  </w:style>
  <w:style w:type="character" w:customStyle="1" w:styleId="Heading2Char">
    <w:name w:val="Heading 2 Char"/>
    <w:link w:val="Heading2"/>
    <w:semiHidden/>
    <w:rsid w:val="00DB2AC8"/>
    <w:rPr>
      <w:rFonts w:ascii="Cambria" w:eastAsia="Times New Roman" w:hAnsi="Cambria" w:cs="Times New Roman"/>
      <w:b/>
      <w:bCs/>
      <w:i/>
      <w:iCs/>
      <w:sz w:val="28"/>
      <w:szCs w:val="28"/>
    </w:rPr>
  </w:style>
  <w:style w:type="character" w:customStyle="1" w:styleId="description">
    <w:name w:val="description"/>
    <w:rsid w:val="00DB2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ampus.usc.edu/1100-behavior-violating-university-standards-and-appropriate-sanctions/" TargetMode="External"/><Relationship Id="rId13" Type="http://schemas.openxmlformats.org/officeDocument/2006/relationships/hyperlink" Target="mailto:sarc@usc.edu" TargetMode="External"/><Relationship Id="rId1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worldbank.org" TargetMode="External"/><Relationship Id="rId12" Type="http://schemas.openxmlformats.org/officeDocument/2006/relationships/hyperlink" Target="http://www.usc.edu/student-affairs/cwm/"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emergency.usc.ed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ursesmart.com/IR/6487639/9780470599396?__hdv=6.8" TargetMode="External"/><Relationship Id="rId11" Type="http://schemas.openxmlformats.org/officeDocument/2006/relationships/hyperlink" Target="http://capsnet.usc.edu/department/department-public-safety/online-forms/contact-us" TargetMode="External"/><Relationship Id="rId5" Type="http://schemas.openxmlformats.org/officeDocument/2006/relationships/endnotes" Target="endnotes.xml"/><Relationship Id="rId15" Type="http://schemas.openxmlformats.org/officeDocument/2006/relationships/hyperlink" Target="http://sait.usc.edu/academicsupport/centerprograms/dsp/home_index.html" TargetMode="External"/><Relationship Id="rId10" Type="http://schemas.openxmlformats.org/officeDocument/2006/relationships/hyperlink" Target="http://equity.usc.edu/"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policy.usc.edu/scientific-misconduct/" TargetMode="External"/><Relationship Id="rId14" Type="http://schemas.openxmlformats.org/officeDocument/2006/relationships/hyperlink" Target="http://dornsife.usc.edu/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10257</CharactersWithSpaces>
  <SharedDoc>false</SharedDoc>
  <HLinks>
    <vt:vector size="6" baseType="variant">
      <vt:variant>
        <vt:i4>4718595</vt:i4>
      </vt:variant>
      <vt:variant>
        <vt:i4>2</vt:i4>
      </vt:variant>
      <vt:variant>
        <vt:i4>0</vt:i4>
      </vt:variant>
      <vt:variant>
        <vt:i4>5</vt:i4>
      </vt:variant>
      <vt:variant>
        <vt:lpwstr>http://www.worldbank.org/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Strauss</dc:creator>
  <cp:lastModifiedBy>John Strauss</cp:lastModifiedBy>
  <cp:revision>2</cp:revision>
  <cp:lastPrinted>2005-01-03T19:16:00Z</cp:lastPrinted>
  <dcterms:created xsi:type="dcterms:W3CDTF">2019-12-21T19:46:00Z</dcterms:created>
  <dcterms:modified xsi:type="dcterms:W3CDTF">2019-12-21T19:46:00Z</dcterms:modified>
</cp:coreProperties>
</file>