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2"/>
        <w:gridCol w:w="6165"/>
      </w:tblGrid>
      <w:tr w:rsidR="001611A7" w:rsidRPr="00C5604A" w:rsidTr="00CA7D5A">
        <w:trPr>
          <w:trHeight w:val="284"/>
        </w:trPr>
        <w:tc>
          <w:tcPr>
            <w:tcW w:w="3062" w:type="dxa"/>
            <w:vMerge w:val="restart"/>
            <w:hideMark/>
          </w:tcPr>
          <w:p w:rsidR="001611A7" w:rsidRPr="00B44D80" w:rsidRDefault="00EE4C3C" w:rsidP="00430410">
            <w:pPr>
              <w:rPr>
                <w:rFonts w:asciiTheme="minorHAnsi" w:hAnsiTheme="minorHAnsi"/>
                <w:b/>
                <w:bCs/>
                <w:sz w:val="20"/>
                <w:szCs w:val="20"/>
              </w:rPr>
            </w:pPr>
            <w:r>
              <w:rPr>
                <w:b/>
                <w:bCs/>
                <w:noProof/>
                <w:sz w:val="22"/>
                <w:szCs w:val="22"/>
              </w:rPr>
              <mc:AlternateContent>
                <mc:Choice Requires="wps">
                  <w:drawing>
                    <wp:anchor distT="0" distB="0" distL="114300" distR="114300" simplePos="0" relativeHeight="251658239" behindDoc="0" locked="0" layoutInCell="1" allowOverlap="1" wp14:anchorId="4AF381D0" wp14:editId="7AC7E2EC">
                      <wp:simplePos x="0" y="0"/>
                      <wp:positionH relativeFrom="column">
                        <wp:posOffset>-143510</wp:posOffset>
                      </wp:positionH>
                      <wp:positionV relativeFrom="paragraph">
                        <wp:posOffset>1412240</wp:posOffset>
                      </wp:positionV>
                      <wp:extent cx="20002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6700"/>
                              </a:xfrm>
                              <a:prstGeom prst="rect">
                                <a:avLst/>
                              </a:prstGeom>
                              <a:solidFill>
                                <a:srgbClr val="FFFFFF"/>
                              </a:solidFill>
                              <a:ln w="9525">
                                <a:noFill/>
                                <a:miter lim="800000"/>
                                <a:headEnd/>
                                <a:tailEnd/>
                              </a:ln>
                            </wps:spPr>
                            <wps:txbx>
                              <w:txbxContent>
                                <w:p w:rsidR="00BA7346" w:rsidRPr="00166B1B" w:rsidRDefault="00BA7346" w:rsidP="00166B1B">
                                  <w:pPr>
                                    <w:rPr>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381D0" id="_x0000_t202" coordsize="21600,21600" o:spt="202" path="m,l,21600r21600,l21600,xe">
                      <v:stroke joinstyle="miter"/>
                      <v:path gradientshapeok="t" o:connecttype="rect"/>
                    </v:shapetype>
                    <v:shape id="Text Box 2" o:spid="_x0000_s1026" type="#_x0000_t202" style="position:absolute;margin-left:-11.3pt;margin-top:111.2pt;width:157.5pt;height:21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" stroked="f">
                      <v:textbox style="mso-fit-shape-to-text:t">
                        <w:txbxContent>
                          <w:p w:rsidR="00BA7346" w:rsidRPr="00166B1B" w:rsidRDefault="00BA7346" w:rsidP="00166B1B">
                            <w:pPr>
                              <w:rPr>
                                <w:szCs w:val="20"/>
                              </w:rPr>
                            </w:pPr>
                          </w:p>
                        </w:txbxContent>
                      </v:textbox>
                    </v:shape>
                  </w:pict>
                </mc:Fallback>
              </mc:AlternateContent>
            </w:r>
            <w:r>
              <w:rPr>
                <w:b/>
                <w:noProof/>
                <w:sz w:val="22"/>
                <w:szCs w:val="22"/>
              </w:rPr>
              <mc:AlternateContent>
                <mc:Choice Requires="wps">
                  <w:drawing>
                    <wp:anchor distT="0" distB="0" distL="114300" distR="114300" simplePos="0" relativeHeight="251661312" behindDoc="0" locked="0" layoutInCell="1" allowOverlap="1" wp14:anchorId="61597A2F" wp14:editId="40B1400E">
                      <wp:simplePos x="0" y="0"/>
                      <wp:positionH relativeFrom="column">
                        <wp:posOffset>-1905</wp:posOffset>
                      </wp:positionH>
                      <wp:positionV relativeFrom="paragraph">
                        <wp:posOffset>1940560</wp:posOffset>
                      </wp:positionV>
                      <wp:extent cx="5789295" cy="29210"/>
                      <wp:effectExtent l="38100" t="38100" r="59055" b="85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1440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8pt" to="455.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" strokecolor="black [3200]" strokeweight="2pt">
                      <v:shadow on="t" color="black" opacity="24903f" origin=",.5" offset="0,.55556mm"/>
                      <o:lock v:ext="edit" shapetype="f"/>
                    </v:line>
                  </w:pict>
                </mc:Fallback>
              </mc:AlternateContent>
            </w:r>
            <w:r w:rsidR="001611A7">
              <w:rPr>
                <w:noProof/>
              </w:rPr>
              <w:drawing>
                <wp:inline distT="0" distB="0" distL="0" distR="0" wp14:anchorId="6AF330E6" wp14:editId="0EA7E344">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65" w:type="dxa"/>
          </w:tcPr>
          <w:p w:rsidR="001611A7" w:rsidRPr="00E12172" w:rsidRDefault="00166B1B" w:rsidP="00C51791">
            <w:pPr>
              <w:rPr>
                <w:b/>
                <w:bCs/>
                <w:sz w:val="22"/>
                <w:szCs w:val="22"/>
                <w:u w:val="single"/>
              </w:rPr>
            </w:pPr>
            <w:r w:rsidRPr="00E12172">
              <w:rPr>
                <w:b/>
                <w:bCs/>
                <w:sz w:val="22"/>
                <w:szCs w:val="22"/>
                <w:u w:val="single"/>
              </w:rPr>
              <w:t>MOR 471 – Managing and Developing People</w:t>
            </w:r>
          </w:p>
          <w:p w:rsidR="00166B1B" w:rsidRPr="00E12172" w:rsidRDefault="00166B1B" w:rsidP="00C51791">
            <w:pPr>
              <w:rPr>
                <w:bCs/>
                <w:sz w:val="22"/>
                <w:szCs w:val="22"/>
              </w:rPr>
            </w:pPr>
            <w:r w:rsidRPr="00E12172">
              <w:rPr>
                <w:bCs/>
                <w:sz w:val="22"/>
                <w:szCs w:val="22"/>
              </w:rPr>
              <w:t xml:space="preserve">         Human Resource Management (HRM)</w:t>
            </w:r>
          </w:p>
          <w:p w:rsidR="001611A7" w:rsidRPr="00E12172" w:rsidRDefault="001611A7" w:rsidP="00C51791">
            <w:pPr>
              <w:jc w:val="center"/>
              <w:rPr>
                <w:b/>
                <w:bCs/>
                <w:sz w:val="22"/>
                <w:szCs w:val="22"/>
              </w:rPr>
            </w:pPr>
          </w:p>
        </w:tc>
      </w:tr>
      <w:tr w:rsidR="001611A7" w:rsidRPr="00C5604A" w:rsidTr="00CA7D5A">
        <w:trPr>
          <w:trHeight w:val="182"/>
        </w:trPr>
        <w:tc>
          <w:tcPr>
            <w:tcW w:w="3062" w:type="dxa"/>
            <w:vMerge/>
            <w:hideMark/>
          </w:tcPr>
          <w:p w:rsidR="001611A7" w:rsidRPr="00C5604A" w:rsidRDefault="001611A7" w:rsidP="00C51791">
            <w:pPr>
              <w:rPr>
                <w:b/>
                <w:bCs/>
                <w:sz w:val="22"/>
                <w:szCs w:val="22"/>
              </w:rPr>
            </w:pPr>
          </w:p>
        </w:tc>
        <w:tc>
          <w:tcPr>
            <w:tcW w:w="6165" w:type="dxa"/>
          </w:tcPr>
          <w:p w:rsidR="001611A7" w:rsidRPr="00E12172" w:rsidRDefault="0040649F" w:rsidP="00C51791">
            <w:pPr>
              <w:rPr>
                <w:b/>
                <w:bCs/>
                <w:sz w:val="22"/>
                <w:szCs w:val="22"/>
              </w:rPr>
            </w:pPr>
            <w:r>
              <w:rPr>
                <w:b/>
                <w:bCs/>
                <w:sz w:val="22"/>
                <w:szCs w:val="22"/>
              </w:rPr>
              <w:t>Fall 201</w:t>
            </w:r>
            <w:r w:rsidR="00A84C98">
              <w:rPr>
                <w:b/>
                <w:bCs/>
                <w:sz w:val="22"/>
                <w:szCs w:val="22"/>
              </w:rPr>
              <w:t>9</w:t>
            </w:r>
            <w:r w:rsidR="00166B1B" w:rsidRPr="00E12172">
              <w:rPr>
                <w:b/>
                <w:bCs/>
                <w:sz w:val="22"/>
                <w:szCs w:val="22"/>
              </w:rPr>
              <w:t xml:space="preserve"> – </w:t>
            </w:r>
            <w:r w:rsidR="00CA7D5A">
              <w:rPr>
                <w:b/>
                <w:bCs/>
                <w:sz w:val="22"/>
                <w:szCs w:val="22"/>
              </w:rPr>
              <w:t xml:space="preserve">16674 - </w:t>
            </w:r>
            <w:r w:rsidR="00166B1B" w:rsidRPr="00E12172">
              <w:rPr>
                <w:b/>
                <w:bCs/>
                <w:sz w:val="22"/>
                <w:szCs w:val="22"/>
              </w:rPr>
              <w:t xml:space="preserve">M/W </w:t>
            </w:r>
            <w:r w:rsidR="00A85852">
              <w:rPr>
                <w:b/>
                <w:bCs/>
                <w:sz w:val="22"/>
                <w:szCs w:val="22"/>
              </w:rPr>
              <w:t>–</w:t>
            </w:r>
            <w:r w:rsidR="00EB15C9">
              <w:rPr>
                <w:b/>
                <w:bCs/>
                <w:sz w:val="22"/>
                <w:szCs w:val="22"/>
              </w:rPr>
              <w:t xml:space="preserve"> </w:t>
            </w:r>
            <w:r w:rsidR="00A84C98">
              <w:rPr>
                <w:b/>
                <w:bCs/>
                <w:sz w:val="22"/>
                <w:szCs w:val="22"/>
              </w:rPr>
              <w:t>1</w:t>
            </w:r>
            <w:r w:rsidR="00A85852">
              <w:rPr>
                <w:b/>
                <w:bCs/>
                <w:sz w:val="22"/>
                <w:szCs w:val="22"/>
              </w:rPr>
              <w:t>2:00</w:t>
            </w:r>
            <w:r w:rsidR="00166B1B" w:rsidRPr="00E12172">
              <w:rPr>
                <w:b/>
                <w:bCs/>
                <w:sz w:val="22"/>
                <w:szCs w:val="22"/>
              </w:rPr>
              <w:t xml:space="preserve"> to </w:t>
            </w:r>
            <w:r w:rsidR="00A84C98">
              <w:rPr>
                <w:b/>
                <w:bCs/>
                <w:sz w:val="22"/>
                <w:szCs w:val="22"/>
              </w:rPr>
              <w:t>1:</w:t>
            </w:r>
            <w:r w:rsidR="00166B1B" w:rsidRPr="00E12172">
              <w:rPr>
                <w:b/>
                <w:bCs/>
                <w:sz w:val="22"/>
                <w:szCs w:val="22"/>
              </w:rPr>
              <w:t>50 pm</w:t>
            </w:r>
            <w:r w:rsidR="00CA7D5A">
              <w:rPr>
                <w:b/>
                <w:bCs/>
                <w:sz w:val="22"/>
                <w:szCs w:val="22"/>
              </w:rPr>
              <w:t xml:space="preserve"> – </w:t>
            </w:r>
            <w:r w:rsidR="004024C0">
              <w:rPr>
                <w:b/>
                <w:bCs/>
                <w:sz w:val="22"/>
                <w:szCs w:val="22"/>
              </w:rPr>
              <w:t>ACC 205</w:t>
            </w:r>
          </w:p>
          <w:p w:rsidR="001611A7" w:rsidRPr="00E12172" w:rsidRDefault="001611A7" w:rsidP="00C51791">
            <w:pPr>
              <w:rPr>
                <w:b/>
                <w:bCs/>
                <w:sz w:val="22"/>
                <w:szCs w:val="22"/>
              </w:rPr>
            </w:pPr>
          </w:p>
        </w:tc>
      </w:tr>
      <w:tr w:rsidR="001611A7" w:rsidRPr="00C5604A" w:rsidTr="00CA7D5A">
        <w:trPr>
          <w:trHeight w:val="94"/>
        </w:trPr>
        <w:tc>
          <w:tcPr>
            <w:tcW w:w="3062" w:type="dxa"/>
            <w:vMerge/>
            <w:hideMark/>
          </w:tcPr>
          <w:p w:rsidR="001611A7" w:rsidRPr="00C5604A" w:rsidRDefault="001611A7" w:rsidP="00C51791">
            <w:pPr>
              <w:rPr>
                <w:b/>
                <w:bCs/>
                <w:sz w:val="22"/>
                <w:szCs w:val="22"/>
              </w:rPr>
            </w:pPr>
          </w:p>
        </w:tc>
        <w:tc>
          <w:tcPr>
            <w:tcW w:w="6165" w:type="dxa"/>
            <w:hideMark/>
          </w:tcPr>
          <w:p w:rsidR="001611A7" w:rsidRPr="00E12172" w:rsidRDefault="001611A7" w:rsidP="00E12172">
            <w:pPr>
              <w:rPr>
                <w:b/>
                <w:bCs/>
                <w:sz w:val="22"/>
                <w:szCs w:val="22"/>
              </w:rPr>
            </w:pPr>
            <w:r w:rsidRPr="00E12172">
              <w:rPr>
                <w:b/>
                <w:bCs/>
                <w:sz w:val="22"/>
                <w:szCs w:val="22"/>
              </w:rPr>
              <w:t xml:space="preserve">Professor:       </w:t>
            </w:r>
            <w:r w:rsidR="00E12172" w:rsidRPr="00E12172">
              <w:rPr>
                <w:b/>
                <w:bCs/>
                <w:sz w:val="22"/>
                <w:szCs w:val="22"/>
              </w:rPr>
              <w:t>Michael W. Coombs, Ph.D.</w:t>
            </w:r>
          </w:p>
        </w:tc>
      </w:tr>
      <w:tr w:rsidR="001611A7" w:rsidRPr="00C5604A" w:rsidTr="00CA7D5A">
        <w:trPr>
          <w:trHeight w:val="129"/>
        </w:trPr>
        <w:tc>
          <w:tcPr>
            <w:tcW w:w="3062" w:type="dxa"/>
            <w:vMerge/>
            <w:hideMark/>
          </w:tcPr>
          <w:p w:rsidR="001611A7" w:rsidRPr="00C5604A" w:rsidRDefault="001611A7" w:rsidP="00C51791">
            <w:pPr>
              <w:rPr>
                <w:b/>
                <w:bCs/>
                <w:sz w:val="22"/>
                <w:szCs w:val="22"/>
              </w:rPr>
            </w:pPr>
          </w:p>
        </w:tc>
        <w:tc>
          <w:tcPr>
            <w:tcW w:w="6165" w:type="dxa"/>
            <w:hideMark/>
          </w:tcPr>
          <w:p w:rsidR="001611A7" w:rsidRPr="00E12172" w:rsidRDefault="001611A7" w:rsidP="00C51791">
            <w:pPr>
              <w:rPr>
                <w:b/>
                <w:bCs/>
                <w:sz w:val="22"/>
                <w:szCs w:val="22"/>
              </w:rPr>
            </w:pPr>
            <w:r w:rsidRPr="00E12172">
              <w:rPr>
                <w:b/>
                <w:bCs/>
                <w:sz w:val="22"/>
                <w:szCs w:val="22"/>
              </w:rPr>
              <w:t xml:space="preserve">Office:             </w:t>
            </w:r>
            <w:r w:rsidR="00150A3E">
              <w:rPr>
                <w:b/>
                <w:bCs/>
                <w:sz w:val="22"/>
                <w:szCs w:val="22"/>
              </w:rPr>
              <w:t>Hoffman Hall 426</w:t>
            </w:r>
          </w:p>
          <w:p w:rsidR="00166B1B" w:rsidRPr="00E12172" w:rsidRDefault="00166B1B" w:rsidP="00C51791">
            <w:pPr>
              <w:rPr>
                <w:b/>
                <w:bCs/>
                <w:sz w:val="22"/>
                <w:szCs w:val="22"/>
              </w:rPr>
            </w:pPr>
            <w:r w:rsidRPr="00E12172">
              <w:rPr>
                <w:b/>
                <w:bCs/>
                <w:sz w:val="22"/>
                <w:szCs w:val="22"/>
              </w:rPr>
              <w:t xml:space="preserve">                         </w:t>
            </w:r>
            <w:r w:rsidR="006F3B3C">
              <w:rPr>
                <w:b/>
                <w:bCs/>
                <w:sz w:val="22"/>
                <w:szCs w:val="22"/>
              </w:rPr>
              <w:t xml:space="preserve">  </w:t>
            </w:r>
          </w:p>
        </w:tc>
      </w:tr>
      <w:tr w:rsidR="001611A7" w:rsidRPr="00C5604A" w:rsidTr="00CA7D5A">
        <w:trPr>
          <w:trHeight w:val="469"/>
        </w:trPr>
        <w:tc>
          <w:tcPr>
            <w:tcW w:w="3062" w:type="dxa"/>
            <w:vMerge/>
            <w:hideMark/>
          </w:tcPr>
          <w:p w:rsidR="001611A7" w:rsidRPr="00C5604A" w:rsidRDefault="001611A7" w:rsidP="00C51791">
            <w:pPr>
              <w:rPr>
                <w:b/>
                <w:bCs/>
                <w:sz w:val="22"/>
                <w:szCs w:val="22"/>
              </w:rPr>
            </w:pPr>
          </w:p>
        </w:tc>
        <w:tc>
          <w:tcPr>
            <w:tcW w:w="6165" w:type="dxa"/>
            <w:hideMark/>
          </w:tcPr>
          <w:p w:rsidR="001611A7" w:rsidRPr="00E12172" w:rsidRDefault="001611A7" w:rsidP="00C51791">
            <w:pPr>
              <w:rPr>
                <w:b/>
                <w:bCs/>
                <w:sz w:val="22"/>
                <w:szCs w:val="22"/>
              </w:rPr>
            </w:pPr>
            <w:r w:rsidRPr="00E12172">
              <w:rPr>
                <w:b/>
                <w:bCs/>
                <w:sz w:val="22"/>
                <w:szCs w:val="22"/>
              </w:rPr>
              <w:t>Office Phone:</w:t>
            </w:r>
            <w:r w:rsidR="00E12172" w:rsidRPr="00E12172">
              <w:rPr>
                <w:b/>
                <w:bCs/>
                <w:sz w:val="22"/>
                <w:szCs w:val="22"/>
              </w:rPr>
              <w:t xml:space="preserve"> (213) 740-9290</w:t>
            </w:r>
            <w:r w:rsidRPr="00E12172">
              <w:rPr>
                <w:b/>
                <w:bCs/>
                <w:sz w:val="22"/>
                <w:szCs w:val="22"/>
              </w:rPr>
              <w:t xml:space="preserve"> </w:t>
            </w:r>
          </w:p>
          <w:p w:rsidR="00A85852" w:rsidRDefault="001611A7" w:rsidP="00166B1B">
            <w:pPr>
              <w:rPr>
                <w:b/>
                <w:bCs/>
                <w:sz w:val="22"/>
                <w:szCs w:val="22"/>
              </w:rPr>
            </w:pPr>
            <w:r w:rsidRPr="00E12172">
              <w:rPr>
                <w:b/>
                <w:bCs/>
                <w:sz w:val="22"/>
                <w:szCs w:val="22"/>
              </w:rPr>
              <w:t>Office Hou</w:t>
            </w:r>
            <w:r w:rsidRPr="009C51BE">
              <w:rPr>
                <w:b/>
                <w:bCs/>
                <w:sz w:val="22"/>
                <w:szCs w:val="22"/>
              </w:rPr>
              <w:t>rs</w:t>
            </w:r>
            <w:r w:rsidRPr="009C51BE">
              <w:rPr>
                <w:bCs/>
                <w:i/>
                <w:sz w:val="22"/>
                <w:szCs w:val="22"/>
              </w:rPr>
              <w:t>:</w:t>
            </w:r>
            <w:r w:rsidR="00166B1B" w:rsidRPr="009C51BE">
              <w:rPr>
                <w:bCs/>
                <w:i/>
                <w:sz w:val="22"/>
                <w:szCs w:val="22"/>
              </w:rPr>
              <w:t xml:space="preserve"> </w:t>
            </w:r>
            <w:r w:rsidR="002A6FFB" w:rsidRPr="009C51BE">
              <w:rPr>
                <w:b/>
                <w:bCs/>
                <w:sz w:val="22"/>
                <w:szCs w:val="22"/>
              </w:rPr>
              <w:t xml:space="preserve"> MW </w:t>
            </w:r>
            <w:r w:rsidR="00DF6405">
              <w:rPr>
                <w:b/>
                <w:bCs/>
                <w:sz w:val="22"/>
                <w:szCs w:val="22"/>
              </w:rPr>
              <w:t>2:0</w:t>
            </w:r>
            <w:r w:rsidR="00A85852">
              <w:rPr>
                <w:b/>
                <w:bCs/>
                <w:sz w:val="22"/>
                <w:szCs w:val="22"/>
              </w:rPr>
              <w:t>0 to 3</w:t>
            </w:r>
            <w:r w:rsidR="00DF6405">
              <w:rPr>
                <w:b/>
                <w:bCs/>
                <w:sz w:val="22"/>
                <w:szCs w:val="22"/>
              </w:rPr>
              <w:t>:0</w:t>
            </w:r>
            <w:r w:rsidR="00A85852">
              <w:rPr>
                <w:b/>
                <w:bCs/>
                <w:sz w:val="22"/>
                <w:szCs w:val="22"/>
              </w:rPr>
              <w:t xml:space="preserve">0 pm and </w:t>
            </w:r>
            <w:r w:rsidR="00DF6405">
              <w:rPr>
                <w:b/>
                <w:bCs/>
                <w:sz w:val="22"/>
                <w:szCs w:val="22"/>
              </w:rPr>
              <w:t>by appointment</w:t>
            </w:r>
          </w:p>
          <w:p w:rsidR="00D60739" w:rsidRPr="00E12172" w:rsidRDefault="00D60739" w:rsidP="00166B1B">
            <w:pPr>
              <w:rPr>
                <w:b/>
                <w:bCs/>
                <w:sz w:val="22"/>
                <w:szCs w:val="22"/>
              </w:rPr>
            </w:pPr>
            <w:r w:rsidRPr="00E12172">
              <w:rPr>
                <w:b/>
                <w:bCs/>
                <w:sz w:val="22"/>
                <w:szCs w:val="22"/>
              </w:rPr>
              <w:t xml:space="preserve">E-mail:            </w:t>
            </w:r>
            <w:r w:rsidR="00E12172" w:rsidRPr="00E12172">
              <w:rPr>
                <w:b/>
                <w:bCs/>
                <w:sz w:val="22"/>
                <w:szCs w:val="22"/>
              </w:rPr>
              <w:t>mcoombs@</w:t>
            </w:r>
            <w:r w:rsidRPr="00E12172">
              <w:rPr>
                <w:b/>
                <w:bCs/>
                <w:sz w:val="22"/>
                <w:szCs w:val="22"/>
              </w:rPr>
              <w:t>usc.edu</w:t>
            </w:r>
          </w:p>
          <w:p w:rsidR="00166B1B" w:rsidRPr="00E12172" w:rsidRDefault="00166B1B" w:rsidP="00166B1B">
            <w:pPr>
              <w:rPr>
                <w:b/>
                <w:bCs/>
                <w:sz w:val="22"/>
                <w:szCs w:val="22"/>
                <w:highlight w:val="lightGray"/>
              </w:rPr>
            </w:pPr>
          </w:p>
          <w:p w:rsidR="001611A7" w:rsidRPr="00E12172" w:rsidRDefault="001611A7" w:rsidP="00C51791">
            <w:pPr>
              <w:rPr>
                <w:bCs/>
                <w:i/>
                <w:sz w:val="22"/>
                <w:szCs w:val="22"/>
              </w:rPr>
            </w:pPr>
          </w:p>
        </w:tc>
      </w:tr>
      <w:tr w:rsidR="001611A7" w:rsidRPr="00C5604A" w:rsidTr="00CA7D5A">
        <w:trPr>
          <w:trHeight w:val="243"/>
        </w:trPr>
        <w:tc>
          <w:tcPr>
            <w:tcW w:w="3062" w:type="dxa"/>
            <w:vMerge/>
            <w:hideMark/>
          </w:tcPr>
          <w:p w:rsidR="001611A7" w:rsidRPr="00C5604A" w:rsidRDefault="001611A7" w:rsidP="00C51791">
            <w:pPr>
              <w:rPr>
                <w:b/>
                <w:bCs/>
                <w:sz w:val="22"/>
                <w:szCs w:val="22"/>
              </w:rPr>
            </w:pPr>
          </w:p>
        </w:tc>
        <w:tc>
          <w:tcPr>
            <w:tcW w:w="6165" w:type="dxa"/>
            <w:hideMark/>
          </w:tcPr>
          <w:p w:rsidR="001611A7" w:rsidRPr="00CE5965" w:rsidRDefault="001611A7" w:rsidP="00C51791">
            <w:pPr>
              <w:ind w:left="-18"/>
              <w:rPr>
                <w:bCs/>
                <w:sz w:val="22"/>
                <w:szCs w:val="22"/>
                <w:lang w:val="de-DE"/>
              </w:rPr>
            </w:pPr>
          </w:p>
        </w:tc>
      </w:tr>
    </w:tbl>
    <w:p w:rsidR="001611A7" w:rsidRPr="005F7F6A" w:rsidRDefault="001611A7" w:rsidP="001611A7">
      <w:pPr>
        <w:outlineLvl w:val="0"/>
        <w:rPr>
          <w:b/>
          <w:bCs/>
          <w:u w:val="single"/>
        </w:rPr>
      </w:pPr>
      <w:r w:rsidRPr="005F7F6A">
        <w:rPr>
          <w:b/>
          <w:bCs/>
          <w:u w:val="single"/>
        </w:rPr>
        <w:t>Course Description</w:t>
      </w:r>
      <w:r w:rsidR="00590CF6" w:rsidRPr="005F7F6A">
        <w:rPr>
          <w:b/>
          <w:bCs/>
        </w:rPr>
        <w:t>:</w:t>
      </w:r>
    </w:p>
    <w:p w:rsidR="00C76BE6" w:rsidRPr="005F7F6A" w:rsidRDefault="00C76BE6" w:rsidP="001611A7">
      <w:pPr>
        <w:outlineLvl w:val="0"/>
        <w:rPr>
          <w:b/>
          <w:bCs/>
          <w:u w:val="single"/>
        </w:rPr>
      </w:pPr>
    </w:p>
    <w:p w:rsidR="00D60739" w:rsidRPr="005F7F6A" w:rsidRDefault="00D60739" w:rsidP="001611A7">
      <w:pPr>
        <w:outlineLvl w:val="0"/>
        <w:rPr>
          <w:bCs/>
        </w:rPr>
      </w:pPr>
      <w:r w:rsidRPr="005F7F6A">
        <w:rPr>
          <w:bCs/>
        </w:rPr>
        <w:t>This course is directed toward two audiences:  1) those individuals who wish to become general managers and need to integrate their knowledge of how to manage human resources for strategic advantage; and 2) those individual</w:t>
      </w:r>
      <w:r w:rsidR="0066168A" w:rsidRPr="005F7F6A">
        <w:rPr>
          <w:bCs/>
        </w:rPr>
        <w:t>s</w:t>
      </w:r>
      <w:r w:rsidRPr="005F7F6A">
        <w:rPr>
          <w:bCs/>
        </w:rPr>
        <w:t xml:space="preserve"> who may be potentially human resource professional</w:t>
      </w:r>
      <w:r w:rsidR="0066168A" w:rsidRPr="005F7F6A">
        <w:rPr>
          <w:bCs/>
        </w:rPr>
        <w:t>s</w:t>
      </w:r>
      <w:r w:rsidRPr="005F7F6A">
        <w:rPr>
          <w:bCs/>
        </w:rPr>
        <w:t xml:space="preserve"> and wish to know more about the activities of the human resource function.  Treating human capital as a strategic resource demands an approach that recognizes the strategic positioning of the organization within a competitive and increasingly global environment where there are many diverse groups of stakeholders, and where the development and deployment of talented employees requires a partnership approach within the organization.</w:t>
      </w:r>
    </w:p>
    <w:p w:rsidR="0029710F" w:rsidRPr="005F7F6A" w:rsidRDefault="0029710F" w:rsidP="002E1D19"/>
    <w:p w:rsidR="00752AF6" w:rsidRPr="005F7F6A" w:rsidRDefault="002E1D19" w:rsidP="00752AF6">
      <w:pPr>
        <w:rPr>
          <w:b/>
          <w:u w:val="single"/>
        </w:rPr>
      </w:pPr>
      <w:r w:rsidRPr="005F7F6A">
        <w:rPr>
          <w:b/>
          <w:u w:val="single"/>
        </w:rPr>
        <w:t>Learning Objective</w:t>
      </w:r>
      <w:r w:rsidR="00752AF6" w:rsidRPr="005F7F6A">
        <w:rPr>
          <w:b/>
          <w:u w:val="single"/>
        </w:rPr>
        <w:t>s</w:t>
      </w:r>
      <w:r w:rsidR="00590CF6" w:rsidRPr="005F7F6A">
        <w:rPr>
          <w:b/>
        </w:rPr>
        <w:t>:</w:t>
      </w:r>
    </w:p>
    <w:p w:rsidR="00752AF6" w:rsidRPr="005F7F6A" w:rsidRDefault="00752AF6" w:rsidP="00752AF6">
      <w:pPr>
        <w:rPr>
          <w:b/>
          <w:u w:val="single"/>
        </w:rPr>
      </w:pPr>
    </w:p>
    <w:p w:rsidR="00C51791" w:rsidRPr="005F7F6A" w:rsidRDefault="00752AF6" w:rsidP="00D363B2">
      <w:pPr>
        <w:pStyle w:val="ListParagraph"/>
        <w:numPr>
          <w:ilvl w:val="0"/>
          <w:numId w:val="23"/>
        </w:numPr>
      </w:pPr>
      <w:r w:rsidRPr="005F7F6A">
        <w:t>To understand how successful companies manage human capital to compete more effectively in a dynamic environment.</w:t>
      </w:r>
    </w:p>
    <w:p w:rsidR="00752AF6" w:rsidRPr="005F7F6A" w:rsidRDefault="00752AF6" w:rsidP="00D363B2">
      <w:pPr>
        <w:pStyle w:val="ListParagraph"/>
        <w:numPr>
          <w:ilvl w:val="0"/>
          <w:numId w:val="23"/>
        </w:numPr>
      </w:pPr>
      <w:r w:rsidRPr="005F7F6A">
        <w:t>To understand the changing context of “talent management” within organizations.</w:t>
      </w:r>
    </w:p>
    <w:p w:rsidR="00752AF6" w:rsidRPr="005F7F6A" w:rsidRDefault="00752AF6" w:rsidP="00D363B2">
      <w:pPr>
        <w:pStyle w:val="ListParagraph"/>
        <w:numPr>
          <w:ilvl w:val="0"/>
          <w:numId w:val="23"/>
        </w:numPr>
      </w:pPr>
      <w:r w:rsidRPr="005F7F6A">
        <w:t>To understand how to align human resources activities with the strategy and goals of the organization.</w:t>
      </w:r>
    </w:p>
    <w:p w:rsidR="00752AF6" w:rsidRPr="005F7F6A" w:rsidRDefault="00752AF6" w:rsidP="00D363B2">
      <w:pPr>
        <w:pStyle w:val="ListParagraph"/>
        <w:numPr>
          <w:ilvl w:val="0"/>
          <w:numId w:val="23"/>
        </w:numPr>
      </w:pPr>
      <w:r w:rsidRPr="005F7F6A">
        <w:t>To understand how key partnerships within the firm are critical to managing the selection, development, and deployment of organizational participants.</w:t>
      </w:r>
    </w:p>
    <w:p w:rsidR="00752AF6" w:rsidRPr="005F7F6A" w:rsidRDefault="00752AF6" w:rsidP="00D363B2">
      <w:pPr>
        <w:pStyle w:val="ListParagraph"/>
        <w:numPr>
          <w:ilvl w:val="0"/>
          <w:numId w:val="23"/>
        </w:numPr>
      </w:pPr>
      <w:r w:rsidRPr="005F7F6A">
        <w:t>To understand more effective ways to manage individual and collective performance for greater organizational and individual growth.</w:t>
      </w:r>
    </w:p>
    <w:p w:rsidR="00752AF6" w:rsidRPr="005F7F6A" w:rsidRDefault="00752AF6" w:rsidP="00D363B2">
      <w:pPr>
        <w:pStyle w:val="ListParagraph"/>
        <w:numPr>
          <w:ilvl w:val="0"/>
          <w:numId w:val="23"/>
        </w:numPr>
      </w:pPr>
      <w:r w:rsidRPr="005F7F6A">
        <w:t xml:space="preserve">To understand the full range of human resource management activities to select, develop, deploy, and compensate members of the organization within a legal and </w:t>
      </w:r>
      <w:r w:rsidR="00F41C92" w:rsidRPr="005F7F6A">
        <w:t>e</w:t>
      </w:r>
      <w:r w:rsidRPr="005F7F6A">
        <w:t>thical organizational framework.</w:t>
      </w:r>
    </w:p>
    <w:p w:rsidR="00752AF6" w:rsidRPr="005F7F6A" w:rsidRDefault="00752AF6" w:rsidP="00D363B2">
      <w:pPr>
        <w:pStyle w:val="ListParagraph"/>
        <w:numPr>
          <w:ilvl w:val="0"/>
          <w:numId w:val="23"/>
        </w:numPr>
      </w:pPr>
      <w:r w:rsidRPr="005F7F6A">
        <w:t>To understand “best practices” of the firms seen as the “best organizations to work for.”</w:t>
      </w:r>
    </w:p>
    <w:p w:rsidR="00752AF6" w:rsidRPr="005F7F6A" w:rsidRDefault="00752AF6" w:rsidP="00752AF6">
      <w:pPr>
        <w:pStyle w:val="ListParagraph"/>
      </w:pPr>
    </w:p>
    <w:p w:rsidR="001B1FCD" w:rsidRPr="005F7F6A" w:rsidRDefault="002E1D19" w:rsidP="00514EF4">
      <w:pPr>
        <w:outlineLvl w:val="0"/>
        <w:rPr>
          <w:b/>
          <w:u w:val="single"/>
        </w:rPr>
      </w:pPr>
      <w:r w:rsidRPr="005F7F6A">
        <w:rPr>
          <w:b/>
          <w:u w:val="single"/>
        </w:rPr>
        <w:t>Required Materials</w:t>
      </w:r>
      <w:r w:rsidR="00590CF6" w:rsidRPr="005F7F6A">
        <w:rPr>
          <w:b/>
        </w:rPr>
        <w:t>:</w:t>
      </w:r>
    </w:p>
    <w:p w:rsidR="001B1FCD" w:rsidRPr="005F7F6A" w:rsidRDefault="001B1FCD" w:rsidP="00514EF4">
      <w:pPr>
        <w:outlineLvl w:val="0"/>
        <w:rPr>
          <w:b/>
          <w:u w:val="single"/>
        </w:rPr>
      </w:pPr>
    </w:p>
    <w:p w:rsidR="001B1FCD" w:rsidRPr="005F7F6A" w:rsidRDefault="001B1FCD" w:rsidP="001B1FCD">
      <w:pPr>
        <w:ind w:left="720"/>
        <w:outlineLvl w:val="0"/>
      </w:pPr>
      <w:r w:rsidRPr="005F7F6A">
        <w:t xml:space="preserve">Text:  </w:t>
      </w:r>
      <w:r w:rsidR="00116949" w:rsidRPr="005F7F6A">
        <w:rPr>
          <w:u w:val="single"/>
        </w:rPr>
        <w:t>Human Resource</w:t>
      </w:r>
      <w:r w:rsidR="002C1BB1">
        <w:rPr>
          <w:u w:val="single"/>
        </w:rPr>
        <w:t xml:space="preserve"> Management</w:t>
      </w:r>
      <w:r w:rsidR="009D6FCA">
        <w:t>,</w:t>
      </w:r>
      <w:r w:rsidR="002C1BB1">
        <w:t xml:space="preserve"> </w:t>
      </w:r>
      <w:r w:rsidR="00B756B3">
        <w:t xml:space="preserve">Mary </w:t>
      </w:r>
      <w:proofErr w:type="spellStart"/>
      <w:r w:rsidR="00B756B3">
        <w:t>Gowan</w:t>
      </w:r>
      <w:proofErr w:type="spellEnd"/>
      <w:r w:rsidR="00B756B3">
        <w:t xml:space="preserve"> and </w:t>
      </w:r>
      <w:r w:rsidR="002C1BB1">
        <w:t xml:space="preserve">David </w:t>
      </w:r>
      <w:proofErr w:type="spellStart"/>
      <w:r w:rsidR="002C1BB1">
        <w:t>Lepak</w:t>
      </w:r>
      <w:proofErr w:type="spellEnd"/>
      <w:r w:rsidR="00A84C98">
        <w:t>, Chicago Business Press, 4th</w:t>
      </w:r>
      <w:r w:rsidRPr="005F7F6A">
        <w:t xml:space="preserve"> ed</w:t>
      </w:r>
      <w:r w:rsidR="00B756B3">
        <w:t>ition, 2020</w:t>
      </w:r>
      <w:r w:rsidRPr="005F7F6A">
        <w:t>.</w:t>
      </w:r>
      <w:r w:rsidR="000849F1">
        <w:t xml:space="preserve"> Available in the USC Bookstore.</w:t>
      </w:r>
    </w:p>
    <w:p w:rsidR="001B1FCD" w:rsidRPr="005F7F6A" w:rsidRDefault="001B1FCD" w:rsidP="001B1FCD">
      <w:pPr>
        <w:ind w:left="720"/>
        <w:outlineLvl w:val="0"/>
      </w:pPr>
    </w:p>
    <w:p w:rsidR="00B53083" w:rsidRDefault="002C1BB1" w:rsidP="00B53083">
      <w:pPr>
        <w:ind w:left="720"/>
        <w:outlineLvl w:val="0"/>
      </w:pPr>
      <w:r>
        <w:t xml:space="preserve">Harvard </w:t>
      </w:r>
      <w:proofErr w:type="spellStart"/>
      <w:r>
        <w:t>Coursepack</w:t>
      </w:r>
      <w:proofErr w:type="spellEnd"/>
      <w:r>
        <w:t xml:space="preserve"> for </w:t>
      </w:r>
      <w:r w:rsidR="00CA7D5A" w:rsidRPr="005F7F6A">
        <w:t xml:space="preserve">MOR 471 </w:t>
      </w:r>
      <w:r>
        <w:t>(</w:t>
      </w:r>
      <w:r w:rsidR="000849F1">
        <w:t>Use this link to access and purchase these case studies)</w:t>
      </w:r>
      <w:r>
        <w:t>.</w:t>
      </w:r>
      <w:r w:rsidR="000849F1" w:rsidRPr="000849F1">
        <w:t xml:space="preserve"> </w:t>
      </w:r>
      <w:r w:rsidR="00B53083">
        <w:t xml:space="preserve"> </w:t>
      </w:r>
      <w:hyperlink r:id="rId9" w:history="1">
        <w:r w:rsidR="00B53083" w:rsidRPr="00EB4250">
          <w:rPr>
            <w:rStyle w:val="Hyperlink"/>
          </w:rPr>
          <w:t>https://hbsp.harvard.edu/import/651190</w:t>
        </w:r>
      </w:hyperlink>
    </w:p>
    <w:p w:rsidR="00B53083" w:rsidRDefault="00B53083" w:rsidP="00B53083">
      <w:pPr>
        <w:ind w:left="720"/>
        <w:outlineLvl w:val="0"/>
      </w:pPr>
    </w:p>
    <w:p w:rsidR="009A6743" w:rsidRPr="005F7F6A" w:rsidRDefault="009A6743" w:rsidP="009A6743">
      <w:pPr>
        <w:outlineLvl w:val="0"/>
      </w:pPr>
      <w:r w:rsidRPr="005F7F6A">
        <w:rPr>
          <w:b/>
          <w:u w:val="single"/>
        </w:rPr>
        <w:t>Prerequisites and/or Recommended Preparation</w:t>
      </w:r>
      <w:r w:rsidRPr="005F7F6A">
        <w:rPr>
          <w:b/>
        </w:rPr>
        <w:t>:</w:t>
      </w:r>
    </w:p>
    <w:p w:rsidR="009A6743" w:rsidRPr="005F7F6A" w:rsidRDefault="009A6743" w:rsidP="002E1D19">
      <w:pPr>
        <w:rPr>
          <w:b/>
          <w:u w:val="single"/>
        </w:rPr>
      </w:pPr>
    </w:p>
    <w:p w:rsidR="001B1FCD" w:rsidRPr="005F7F6A" w:rsidRDefault="001B1FCD" w:rsidP="002C1BB1">
      <w:pPr>
        <w:ind w:left="720"/>
      </w:pPr>
      <w:r w:rsidRPr="005F7F6A">
        <w:t xml:space="preserve">BUAD 304 </w:t>
      </w:r>
      <w:r w:rsidR="002C1BB1">
        <w:t>(Organizational Behavior and L</w:t>
      </w:r>
      <w:r w:rsidR="005F7F6A" w:rsidRPr="005F7F6A">
        <w:t xml:space="preserve">eadership) </w:t>
      </w:r>
      <w:r w:rsidRPr="005F7F6A">
        <w:t>is recommended as preparation.</w:t>
      </w:r>
    </w:p>
    <w:p w:rsidR="001B1FCD" w:rsidRPr="005F7F6A" w:rsidRDefault="001B1FCD" w:rsidP="002E1D19">
      <w:pPr>
        <w:rPr>
          <w:b/>
          <w:u w:val="single"/>
        </w:rPr>
      </w:pPr>
    </w:p>
    <w:p w:rsidR="000148FF" w:rsidRPr="005F7F6A" w:rsidRDefault="000148FF" w:rsidP="000148FF">
      <w:pPr>
        <w:pStyle w:val="Heading5"/>
        <w:rPr>
          <w:b/>
          <w:bCs/>
          <w:i w:val="0"/>
          <w:sz w:val="24"/>
          <w:szCs w:val="24"/>
        </w:rPr>
      </w:pPr>
      <w:r w:rsidRPr="005F7F6A">
        <w:rPr>
          <w:b/>
          <w:bCs/>
          <w:i w:val="0"/>
          <w:sz w:val="24"/>
          <w:szCs w:val="24"/>
        </w:rPr>
        <w:t>Course Communication: Blackboard Course Management System</w:t>
      </w:r>
    </w:p>
    <w:p w:rsidR="005F7F6A" w:rsidRPr="005F7F6A" w:rsidRDefault="005F7F6A" w:rsidP="000148FF">
      <w:pPr>
        <w:tabs>
          <w:tab w:val="left" w:pos="-1440"/>
          <w:tab w:val="left" w:pos="-720"/>
        </w:tabs>
      </w:pPr>
    </w:p>
    <w:p w:rsidR="000148FF" w:rsidRPr="005F7F6A" w:rsidRDefault="000148FF" w:rsidP="000148FF">
      <w:pPr>
        <w:tabs>
          <w:tab w:val="left" w:pos="-1440"/>
          <w:tab w:val="left" w:pos="-720"/>
        </w:tabs>
      </w:pPr>
      <w:r w:rsidRPr="005F7F6A">
        <w:t xml:space="preserve">The Marshall School of Business is using the Blackboard Course Management System for faculty – student communication.  If you are registered in this course you have access to this CMS through </w:t>
      </w:r>
      <w:r w:rsidRPr="005F7F6A">
        <w:rPr>
          <w:b/>
        </w:rPr>
        <w:t>https://Blackboard.usc.edu.</w:t>
      </w:r>
      <w:r w:rsidRPr="005F7F6A">
        <w:t xml:space="preserve">  You can contact any other individual enrolled in this course through the Blackboard email tool.  If you are accustomed to using other email services please link them to the USC system so that you receive emails in a timely manner. You should begin the habit of checking Blackboard for additional information on a very regular basis.  The course syllabus has been posted.  Additional course lecture notes/materials, further details on assignments and position outlines (where appropriate), and general course announcements, will be posted to the folder throughout the semester.</w:t>
      </w:r>
    </w:p>
    <w:p w:rsidR="008369AB" w:rsidRPr="005F7F6A" w:rsidRDefault="008369AB" w:rsidP="008369AB">
      <w:pPr>
        <w:autoSpaceDE w:val="0"/>
        <w:autoSpaceDN w:val="0"/>
        <w:adjustRightInd w:val="0"/>
        <w:jc w:val="both"/>
        <w:rPr>
          <w:iCs/>
          <w:color w:val="000000"/>
        </w:rPr>
      </w:pPr>
    </w:p>
    <w:p w:rsidR="00763368" w:rsidRPr="005F7F6A" w:rsidRDefault="00763368" w:rsidP="00763368">
      <w:pPr>
        <w:outlineLvl w:val="0"/>
        <w:rPr>
          <w:b/>
          <w:u w:val="single"/>
        </w:rPr>
      </w:pPr>
      <w:r w:rsidRPr="005F7F6A">
        <w:rPr>
          <w:b/>
          <w:u w:val="single"/>
        </w:rPr>
        <w:t>Grading Policies:</w:t>
      </w:r>
    </w:p>
    <w:p w:rsidR="005F7F6A" w:rsidRPr="005F7F6A" w:rsidRDefault="005F7F6A" w:rsidP="00763368">
      <w:pPr>
        <w:rPr>
          <w:b/>
        </w:rPr>
      </w:pPr>
    </w:p>
    <w:p w:rsidR="00763368" w:rsidRPr="005F7F6A" w:rsidRDefault="00763368" w:rsidP="00763368">
      <w:pPr>
        <w:rPr>
          <w:b/>
        </w:rPr>
      </w:pPr>
      <w:r w:rsidRPr="005F7F6A">
        <w:rPr>
          <w:b/>
        </w:rPr>
        <w:t>Attendance and Punctuality</w:t>
      </w:r>
    </w:p>
    <w:p w:rsidR="00763368" w:rsidRPr="005F7F6A" w:rsidRDefault="00763368" w:rsidP="002A6FFB">
      <w:r w:rsidRPr="005F7F6A">
        <w:t xml:space="preserve">You are expected to attend </w:t>
      </w:r>
      <w:r w:rsidRPr="005F7F6A">
        <w:rPr>
          <w:i/>
        </w:rPr>
        <w:t>all</w:t>
      </w:r>
      <w:r w:rsidRPr="005F7F6A">
        <w:t xml:space="preserve"> scheduled class sessions and to be in your seat, ready to learn, at the start of class. Should you need to be absent, the courtesy of an </w:t>
      </w:r>
      <w:r w:rsidRPr="002A6FFB">
        <w:rPr>
          <w:u w:val="single"/>
        </w:rPr>
        <w:t>e-mail from you PRIOR to the start of class will be appreciated</w:t>
      </w:r>
      <w:r w:rsidRPr="002A6FFB">
        <w:t xml:space="preserve">. </w:t>
      </w:r>
    </w:p>
    <w:p w:rsidR="00763368" w:rsidRPr="005F7F6A" w:rsidRDefault="00763368" w:rsidP="00763368"/>
    <w:p w:rsidR="00763368" w:rsidRPr="005F7F6A" w:rsidRDefault="00763368" w:rsidP="00763368">
      <w:pPr>
        <w:rPr>
          <w:b/>
        </w:rPr>
      </w:pPr>
      <w:r w:rsidRPr="005F7F6A">
        <w:rPr>
          <w:b/>
        </w:rPr>
        <w:t xml:space="preserve">Please note that ELC dates are non-negotiable – so missing an ELC session will negatively affect your grade since an ELC date involves team work. </w:t>
      </w:r>
    </w:p>
    <w:p w:rsidR="00763368" w:rsidRPr="005F7F6A" w:rsidRDefault="00763368" w:rsidP="00763368"/>
    <w:p w:rsidR="00763368" w:rsidRPr="005F7F6A" w:rsidRDefault="00763368" w:rsidP="00763368">
      <w:pPr>
        <w:pStyle w:val="sidehead"/>
        <w:jc w:val="left"/>
        <w:rPr>
          <w:rFonts w:ascii="Times New Roman" w:hAnsi="Times New Roman"/>
          <w:b w:val="0"/>
          <w:szCs w:val="24"/>
        </w:rPr>
      </w:pPr>
      <w:r w:rsidRPr="005F7F6A">
        <w:rPr>
          <w:rFonts w:ascii="Times New Roman" w:hAnsi="Times New Roman"/>
          <w:iCs/>
          <w:szCs w:val="24"/>
        </w:rPr>
        <w:t>Preparation</w:t>
      </w:r>
      <w:r w:rsidRPr="005F7F6A">
        <w:rPr>
          <w:rFonts w:ascii="Times New Roman" w:hAnsi="Times New Roman"/>
          <w:b w:val="0"/>
          <w:szCs w:val="24"/>
        </w:rPr>
        <w:t xml:space="preserve"> </w:t>
      </w:r>
    </w:p>
    <w:p w:rsidR="00763368" w:rsidRPr="005F7F6A" w:rsidRDefault="00763368" w:rsidP="00763368">
      <w:pPr>
        <w:pStyle w:val="sidehead"/>
        <w:jc w:val="left"/>
        <w:rPr>
          <w:rFonts w:ascii="Times New Roman" w:hAnsi="Times New Roman"/>
          <w:b w:val="0"/>
          <w:iCs/>
          <w:szCs w:val="24"/>
        </w:rPr>
      </w:pPr>
      <w:r w:rsidRPr="005F7F6A">
        <w:rPr>
          <w:rFonts w:ascii="Times New Roman" w:hAnsi="Times New Roman"/>
          <w:b w:val="0"/>
          <w:szCs w:val="24"/>
        </w:rPr>
        <w:t xml:space="preserve">You are expected to come to class fully prepared, with all required written assignments and readings completed. </w:t>
      </w:r>
      <w:r w:rsidRPr="005F7F6A">
        <w:rPr>
          <w:rFonts w:ascii="Times New Roman" w:hAnsi="Times New Roman"/>
          <w:b w:val="0"/>
          <w:i/>
          <w:szCs w:val="24"/>
        </w:rPr>
        <w:t>This includes being fully prepared even if you were unable to attend a previous class meeting.</w:t>
      </w:r>
      <w:r w:rsidRPr="005F7F6A">
        <w:rPr>
          <w:rFonts w:ascii="Times New Roman" w:hAnsi="Times New Roman"/>
          <w:b w:val="0"/>
          <w:iCs/>
          <w:szCs w:val="24"/>
        </w:rPr>
        <w:t xml:space="preserve">  It is imperative that you get a phone number or e-mail address from a class member so you can get the assignments.  All individuals involved in this class can be emailed through the email tool within Blackboard.  </w:t>
      </w:r>
    </w:p>
    <w:p w:rsidR="00763368" w:rsidRPr="005F7F6A" w:rsidRDefault="00763368" w:rsidP="00763368"/>
    <w:p w:rsidR="00763368" w:rsidRPr="005F7F6A" w:rsidRDefault="00763368" w:rsidP="00763368">
      <w:pPr>
        <w:rPr>
          <w:iCs/>
          <w:color w:val="000000"/>
        </w:rPr>
      </w:pPr>
      <w:r w:rsidRPr="005F7F6A">
        <w:rPr>
          <w:b/>
          <w:iCs/>
          <w:color w:val="000000"/>
          <w:u w:val="single"/>
        </w:rPr>
        <w:t>ASSIGNMENTS AND GRADING DETAIL</w:t>
      </w:r>
    </w:p>
    <w:p w:rsidR="005F7F6A" w:rsidRPr="005F7F6A" w:rsidRDefault="005F7F6A" w:rsidP="00763368"/>
    <w:p w:rsidR="00763368" w:rsidRPr="005F7F6A" w:rsidRDefault="00763368" w:rsidP="00763368">
      <w:r w:rsidRPr="005F7F6A">
        <w:t>Final grades represent how you perform in the class relative to other students.  Your grade will not be based on a mandated target, but on your performance. Historically, the average grade for this class is about a (B).  Three items are considered when assigning final grades:</w:t>
      </w:r>
    </w:p>
    <w:p w:rsidR="00763368" w:rsidRPr="005F7F6A" w:rsidRDefault="00763368" w:rsidP="00763368">
      <w:pPr>
        <w:numPr>
          <w:ilvl w:val="0"/>
          <w:numId w:val="1"/>
        </w:numPr>
        <w:tabs>
          <w:tab w:val="clear" w:pos="360"/>
          <w:tab w:val="num" w:pos="1080"/>
        </w:tabs>
        <w:ind w:left="1080"/>
      </w:pPr>
      <w:r w:rsidRPr="005F7F6A">
        <w:t>Your average weighted score as a percentage of the available points for all assignments (the points you receive divided by the number of points possible).</w:t>
      </w:r>
    </w:p>
    <w:p w:rsidR="00763368" w:rsidRPr="005F7F6A" w:rsidRDefault="00763368" w:rsidP="00763368">
      <w:pPr>
        <w:numPr>
          <w:ilvl w:val="0"/>
          <w:numId w:val="1"/>
        </w:numPr>
        <w:tabs>
          <w:tab w:val="clear" w:pos="360"/>
          <w:tab w:val="num" w:pos="1080"/>
        </w:tabs>
        <w:ind w:left="1080"/>
      </w:pPr>
      <w:r w:rsidRPr="005F7F6A">
        <w:t xml:space="preserve">The overall average percentage score within the class. </w:t>
      </w:r>
    </w:p>
    <w:p w:rsidR="00763368" w:rsidRPr="005F7F6A" w:rsidRDefault="00763368" w:rsidP="00763368">
      <w:pPr>
        <w:numPr>
          <w:ilvl w:val="0"/>
          <w:numId w:val="1"/>
        </w:numPr>
        <w:tabs>
          <w:tab w:val="clear" w:pos="360"/>
          <w:tab w:val="num" w:pos="1080"/>
        </w:tabs>
        <w:ind w:left="1080"/>
      </w:pPr>
      <w:proofErr w:type="gramStart"/>
      <w:r w:rsidRPr="005F7F6A">
        <w:t>Your</w:t>
      </w:r>
      <w:proofErr w:type="gramEnd"/>
      <w:r w:rsidRPr="005F7F6A">
        <w:t xml:space="preserve"> ranking among all students in the class.</w:t>
      </w:r>
    </w:p>
    <w:p w:rsidR="00763368" w:rsidRPr="005F7F6A" w:rsidRDefault="00763368" w:rsidP="00763368"/>
    <w:p w:rsidR="002C1BB1" w:rsidRDefault="002C1BB1">
      <w:pPr>
        <w:rPr>
          <w:b/>
          <w:bCs/>
        </w:rPr>
      </w:pPr>
      <w:r>
        <w:rPr>
          <w:bCs/>
        </w:rPr>
        <w:br w:type="page"/>
      </w:r>
    </w:p>
    <w:p w:rsidR="00763368" w:rsidRPr="005F7F6A" w:rsidRDefault="00763368" w:rsidP="00763368">
      <w:pPr>
        <w:pStyle w:val="sidehead"/>
        <w:tabs>
          <w:tab w:val="clear" w:pos="1440"/>
          <w:tab w:val="clear" w:pos="5760"/>
        </w:tabs>
        <w:jc w:val="left"/>
        <w:rPr>
          <w:rFonts w:ascii="Times New Roman" w:hAnsi="Times New Roman"/>
          <w:b w:val="0"/>
          <w:szCs w:val="24"/>
        </w:rPr>
      </w:pPr>
      <w:r w:rsidRPr="005F7F6A">
        <w:rPr>
          <w:rFonts w:ascii="Times New Roman" w:hAnsi="Times New Roman"/>
          <w:bCs/>
          <w:szCs w:val="24"/>
        </w:rPr>
        <w:lastRenderedPageBreak/>
        <w:t>Evaluation and Grading</w:t>
      </w:r>
    </w:p>
    <w:p w:rsidR="00763368" w:rsidRPr="005F7F6A" w:rsidRDefault="00763368" w:rsidP="00763368">
      <w:pPr>
        <w:pStyle w:val="sidehead"/>
        <w:tabs>
          <w:tab w:val="clear" w:pos="1440"/>
          <w:tab w:val="clear" w:pos="5760"/>
        </w:tabs>
        <w:jc w:val="left"/>
        <w:rPr>
          <w:rFonts w:ascii="Times New Roman" w:hAnsi="Times New Roman"/>
          <w:b w:val="0"/>
          <w:szCs w:val="24"/>
        </w:rPr>
      </w:pPr>
      <w:r w:rsidRPr="005F7F6A">
        <w:rPr>
          <w:rFonts w:ascii="Times New Roman" w:hAnsi="Times New Roman"/>
          <w:b w:val="0"/>
          <w:szCs w:val="24"/>
        </w:rPr>
        <w:t>Your final course grade will be composed of the following elements:</w:t>
      </w:r>
    </w:p>
    <w:p w:rsidR="00763368" w:rsidRPr="005F7F6A" w:rsidRDefault="00763368" w:rsidP="00763368">
      <w:pPr>
        <w:pStyle w:val="sidehead"/>
        <w:tabs>
          <w:tab w:val="clear" w:pos="1440"/>
          <w:tab w:val="clear" w:pos="5760"/>
        </w:tabs>
        <w:jc w:val="left"/>
        <w:rPr>
          <w:rFonts w:ascii="Times New Roman" w:hAnsi="Times New Roman"/>
          <w:b w:val="0"/>
          <w:szCs w:val="24"/>
        </w:rPr>
      </w:pPr>
    </w:p>
    <w:p w:rsidR="00763368" w:rsidRPr="005F7F6A" w:rsidRDefault="00763368" w:rsidP="00763368">
      <w:pPr>
        <w:pStyle w:val="sidehead"/>
        <w:tabs>
          <w:tab w:val="clear" w:pos="1440"/>
          <w:tab w:val="clear" w:pos="5760"/>
        </w:tabs>
        <w:jc w:val="left"/>
        <w:rPr>
          <w:rFonts w:ascii="Times New Roman" w:hAnsi="Times New Roman"/>
          <w:b w:val="0"/>
          <w:szCs w:val="24"/>
        </w:rPr>
      </w:pPr>
      <w:r w:rsidRPr="005F7F6A">
        <w:rPr>
          <w:rFonts w:ascii="Times New Roman" w:hAnsi="Times New Roman"/>
          <w:b w:val="0"/>
          <w:szCs w:val="24"/>
        </w:rPr>
        <w:t>Grade components are described briefly below.  Assignment instructions will include grading criteria and details will be discussed in class as well.</w:t>
      </w:r>
    </w:p>
    <w:p w:rsidR="00943625" w:rsidRPr="005F7F6A" w:rsidRDefault="00943625" w:rsidP="006F3B3C">
      <w:pPr>
        <w:rPr>
          <w:highlight w:val="yellow"/>
        </w:rPr>
      </w:pPr>
    </w:p>
    <w:p w:rsidR="0040649F" w:rsidRPr="005F7F6A" w:rsidRDefault="0040649F" w:rsidP="0040649F">
      <w:pPr>
        <w:tabs>
          <w:tab w:val="left" w:pos="720"/>
          <w:tab w:val="left" w:pos="1440"/>
          <w:tab w:val="left" w:pos="7200"/>
        </w:tabs>
        <w:autoSpaceDE w:val="0"/>
        <w:autoSpaceDN w:val="0"/>
        <w:adjustRightInd w:val="0"/>
        <w:jc w:val="both"/>
        <w:rPr>
          <w:b/>
          <w:iCs/>
          <w:color w:val="000000"/>
        </w:rPr>
      </w:pPr>
      <w:r w:rsidRPr="005F7F6A">
        <w:rPr>
          <w:b/>
          <w:iCs/>
          <w:color w:val="000000"/>
        </w:rPr>
        <w:t>Individual assignments:</w:t>
      </w:r>
    </w:p>
    <w:p w:rsidR="00F807A2" w:rsidRPr="005F7F6A" w:rsidRDefault="006F3B3C" w:rsidP="00F807A2">
      <w:pPr>
        <w:tabs>
          <w:tab w:val="left" w:pos="720"/>
          <w:tab w:val="left" w:pos="1440"/>
          <w:tab w:val="left" w:pos="7200"/>
        </w:tabs>
        <w:rPr>
          <w:iCs/>
          <w:color w:val="000000"/>
        </w:rPr>
      </w:pPr>
      <w:r w:rsidRPr="005F7F6A">
        <w:rPr>
          <w:iCs/>
          <w:color w:val="000000"/>
        </w:rPr>
        <w:tab/>
      </w:r>
      <w:r w:rsidR="00F807A2" w:rsidRPr="005F7F6A">
        <w:rPr>
          <w:iCs/>
          <w:color w:val="000000"/>
        </w:rPr>
        <w:t>Class participation and</w:t>
      </w:r>
      <w:r w:rsidR="002A6FFB">
        <w:rPr>
          <w:iCs/>
          <w:color w:val="000000"/>
        </w:rPr>
        <w:t xml:space="preserve"> contribution</w:t>
      </w:r>
      <w:r w:rsidR="002A6FFB">
        <w:rPr>
          <w:iCs/>
          <w:color w:val="000000"/>
        </w:rPr>
        <w:tab/>
        <w:t>15</w:t>
      </w:r>
      <w:r w:rsidR="00F807A2" w:rsidRPr="005F7F6A">
        <w:rPr>
          <w:iCs/>
          <w:color w:val="000000"/>
        </w:rPr>
        <w:t>%</w:t>
      </w:r>
    </w:p>
    <w:p w:rsidR="0040649F" w:rsidRPr="005F7F6A" w:rsidRDefault="00F807A2" w:rsidP="0040649F">
      <w:pPr>
        <w:tabs>
          <w:tab w:val="left" w:pos="720"/>
          <w:tab w:val="left" w:pos="1440"/>
          <w:tab w:val="left" w:pos="7200"/>
        </w:tabs>
        <w:rPr>
          <w:iCs/>
          <w:color w:val="000000"/>
        </w:rPr>
      </w:pPr>
      <w:r w:rsidRPr="005F7F6A">
        <w:rPr>
          <w:iCs/>
          <w:color w:val="000000"/>
        </w:rPr>
        <w:tab/>
      </w:r>
      <w:r w:rsidR="006F3B3C" w:rsidRPr="005F7F6A">
        <w:rPr>
          <w:iCs/>
          <w:color w:val="000000"/>
        </w:rPr>
        <w:t xml:space="preserve">Interview of a HR </w:t>
      </w:r>
      <w:r w:rsidR="0040649F" w:rsidRPr="005F7F6A">
        <w:rPr>
          <w:iCs/>
          <w:color w:val="000000"/>
        </w:rPr>
        <w:t>Manager (may be done in pairs)</w:t>
      </w:r>
      <w:r w:rsidR="0040649F" w:rsidRPr="005F7F6A">
        <w:rPr>
          <w:iCs/>
          <w:color w:val="000000"/>
        </w:rPr>
        <w:tab/>
        <w:t>10%</w:t>
      </w:r>
    </w:p>
    <w:p w:rsidR="00EB15C9" w:rsidRDefault="0040649F" w:rsidP="00EB15C9">
      <w:pPr>
        <w:tabs>
          <w:tab w:val="left" w:pos="720"/>
          <w:tab w:val="left" w:pos="1440"/>
          <w:tab w:val="left" w:pos="7200"/>
        </w:tabs>
        <w:rPr>
          <w:iCs/>
          <w:color w:val="000000"/>
        </w:rPr>
      </w:pPr>
      <w:r w:rsidRPr="005F7F6A">
        <w:rPr>
          <w:iCs/>
          <w:color w:val="000000"/>
        </w:rPr>
        <w:tab/>
        <w:t>Written case notes (se</w:t>
      </w:r>
      <w:r w:rsidR="00F526F7">
        <w:rPr>
          <w:iCs/>
          <w:color w:val="000000"/>
        </w:rPr>
        <w:t>lect 8</w:t>
      </w:r>
      <w:r w:rsidR="002A6FFB">
        <w:rPr>
          <w:iCs/>
          <w:color w:val="000000"/>
        </w:rPr>
        <w:t xml:space="preserve"> of the assigned cases)</w:t>
      </w:r>
      <w:r w:rsidR="002A6FFB">
        <w:rPr>
          <w:iCs/>
          <w:color w:val="000000"/>
        </w:rPr>
        <w:tab/>
        <w:t>20</w:t>
      </w:r>
      <w:r w:rsidRPr="005F7F6A">
        <w:rPr>
          <w:iCs/>
          <w:color w:val="000000"/>
        </w:rPr>
        <w:t>%</w:t>
      </w:r>
    </w:p>
    <w:p w:rsidR="00EB15C9" w:rsidRPr="005F7F6A" w:rsidRDefault="00EB15C9" w:rsidP="00EB15C9">
      <w:pPr>
        <w:tabs>
          <w:tab w:val="left" w:pos="720"/>
          <w:tab w:val="left" w:pos="1440"/>
          <w:tab w:val="left" w:pos="7200"/>
        </w:tabs>
        <w:rPr>
          <w:iCs/>
          <w:color w:val="000000"/>
        </w:rPr>
      </w:pPr>
      <w:r>
        <w:rPr>
          <w:iCs/>
          <w:color w:val="000000"/>
        </w:rPr>
        <w:tab/>
      </w:r>
      <w:r w:rsidRPr="005F7F6A">
        <w:rPr>
          <w:iCs/>
          <w:color w:val="000000"/>
        </w:rPr>
        <w:t>Mid-term exam</w:t>
      </w:r>
      <w:r>
        <w:rPr>
          <w:iCs/>
          <w:color w:val="000000"/>
        </w:rPr>
        <w:t xml:space="preserve"> I</w:t>
      </w:r>
      <w:r w:rsidRPr="005F7F6A">
        <w:rPr>
          <w:iCs/>
          <w:color w:val="000000"/>
        </w:rPr>
        <w:t xml:space="preserve"> (text and class material)</w:t>
      </w:r>
      <w:r w:rsidRPr="005F7F6A">
        <w:rPr>
          <w:iCs/>
          <w:color w:val="000000"/>
        </w:rPr>
        <w:tab/>
      </w:r>
      <w:r w:rsidR="002A6FFB">
        <w:rPr>
          <w:iCs/>
          <w:color w:val="000000"/>
        </w:rPr>
        <w:t>10</w:t>
      </w:r>
      <w:r w:rsidRPr="005F7F6A">
        <w:rPr>
          <w:iCs/>
          <w:color w:val="000000"/>
        </w:rPr>
        <w:t>%</w:t>
      </w:r>
    </w:p>
    <w:p w:rsidR="00B117F3" w:rsidRPr="005F7F6A" w:rsidRDefault="0040649F" w:rsidP="00F41C92">
      <w:pPr>
        <w:tabs>
          <w:tab w:val="left" w:pos="720"/>
          <w:tab w:val="left" w:pos="1440"/>
          <w:tab w:val="left" w:pos="7200"/>
        </w:tabs>
        <w:autoSpaceDE w:val="0"/>
        <w:autoSpaceDN w:val="0"/>
        <w:adjustRightInd w:val="0"/>
        <w:jc w:val="both"/>
        <w:rPr>
          <w:iCs/>
          <w:color w:val="000000"/>
        </w:rPr>
      </w:pPr>
      <w:r w:rsidRPr="005F7F6A">
        <w:rPr>
          <w:iCs/>
          <w:color w:val="000000"/>
        </w:rPr>
        <w:tab/>
      </w:r>
      <w:r w:rsidR="00B117F3" w:rsidRPr="005F7F6A">
        <w:rPr>
          <w:iCs/>
          <w:color w:val="000000"/>
        </w:rPr>
        <w:t xml:space="preserve">Mid-term exam </w:t>
      </w:r>
      <w:r w:rsidR="00EB15C9">
        <w:rPr>
          <w:iCs/>
          <w:color w:val="000000"/>
        </w:rPr>
        <w:t xml:space="preserve">II </w:t>
      </w:r>
      <w:r w:rsidR="00B117F3" w:rsidRPr="005F7F6A">
        <w:rPr>
          <w:iCs/>
          <w:color w:val="000000"/>
        </w:rPr>
        <w:t>(text and class material)</w:t>
      </w:r>
      <w:r w:rsidR="00F41C92" w:rsidRPr="005F7F6A">
        <w:rPr>
          <w:iCs/>
          <w:color w:val="000000"/>
        </w:rPr>
        <w:tab/>
      </w:r>
      <w:r w:rsidR="002A6FFB">
        <w:rPr>
          <w:iCs/>
          <w:color w:val="000000"/>
        </w:rPr>
        <w:t>10</w:t>
      </w:r>
      <w:r w:rsidR="00B117F3" w:rsidRPr="005F7F6A">
        <w:rPr>
          <w:iCs/>
          <w:color w:val="000000"/>
        </w:rPr>
        <w:t>%</w:t>
      </w:r>
    </w:p>
    <w:p w:rsidR="00B117F3" w:rsidRPr="005F7F6A" w:rsidRDefault="0040649F" w:rsidP="00F41C92">
      <w:pPr>
        <w:tabs>
          <w:tab w:val="left" w:pos="720"/>
          <w:tab w:val="left" w:pos="1440"/>
          <w:tab w:val="left" w:pos="7200"/>
        </w:tabs>
        <w:autoSpaceDE w:val="0"/>
        <w:autoSpaceDN w:val="0"/>
        <w:adjustRightInd w:val="0"/>
        <w:jc w:val="both"/>
        <w:rPr>
          <w:iCs/>
          <w:color w:val="000000"/>
        </w:rPr>
      </w:pPr>
      <w:r w:rsidRPr="005F7F6A">
        <w:rPr>
          <w:iCs/>
          <w:color w:val="000000"/>
        </w:rPr>
        <w:tab/>
      </w:r>
      <w:r w:rsidR="00B117F3" w:rsidRPr="005F7F6A">
        <w:rPr>
          <w:iCs/>
          <w:color w:val="000000"/>
        </w:rPr>
        <w:t>Final exam (case based e</w:t>
      </w:r>
      <w:r w:rsidR="00F41C92" w:rsidRPr="005F7F6A">
        <w:rPr>
          <w:iCs/>
          <w:color w:val="000000"/>
        </w:rPr>
        <w:t>xam)</w:t>
      </w:r>
      <w:r w:rsidR="00F41C92" w:rsidRPr="005F7F6A">
        <w:rPr>
          <w:iCs/>
          <w:color w:val="000000"/>
        </w:rPr>
        <w:tab/>
      </w:r>
      <w:r w:rsidR="00B117F3" w:rsidRPr="005F7F6A">
        <w:rPr>
          <w:iCs/>
          <w:color w:val="000000"/>
        </w:rPr>
        <w:t>20%</w:t>
      </w:r>
    </w:p>
    <w:p w:rsidR="00B117F3" w:rsidRPr="005F7F6A" w:rsidRDefault="00B117F3" w:rsidP="00F41C92">
      <w:pPr>
        <w:tabs>
          <w:tab w:val="left" w:pos="720"/>
          <w:tab w:val="left" w:pos="1440"/>
          <w:tab w:val="left" w:pos="7200"/>
        </w:tabs>
        <w:autoSpaceDE w:val="0"/>
        <w:autoSpaceDN w:val="0"/>
        <w:adjustRightInd w:val="0"/>
        <w:jc w:val="both"/>
        <w:rPr>
          <w:iCs/>
          <w:color w:val="000000"/>
        </w:rPr>
      </w:pPr>
    </w:p>
    <w:p w:rsidR="00B117F3" w:rsidRPr="005F7F6A" w:rsidRDefault="006F3B3C" w:rsidP="00F41C92">
      <w:pPr>
        <w:tabs>
          <w:tab w:val="left" w:pos="720"/>
          <w:tab w:val="left" w:pos="1440"/>
          <w:tab w:val="left" w:pos="7200"/>
        </w:tabs>
        <w:autoSpaceDE w:val="0"/>
        <w:autoSpaceDN w:val="0"/>
        <w:adjustRightInd w:val="0"/>
        <w:jc w:val="both"/>
        <w:rPr>
          <w:b/>
          <w:iCs/>
          <w:color w:val="000000"/>
        </w:rPr>
      </w:pPr>
      <w:r w:rsidRPr="005F7F6A">
        <w:rPr>
          <w:b/>
          <w:iCs/>
          <w:color w:val="000000"/>
        </w:rPr>
        <w:t>Team project</w:t>
      </w:r>
      <w:r w:rsidR="00B117F3" w:rsidRPr="005F7F6A">
        <w:rPr>
          <w:b/>
          <w:iCs/>
          <w:color w:val="000000"/>
        </w:rPr>
        <w:t>:</w:t>
      </w:r>
    </w:p>
    <w:p w:rsidR="00B117F3" w:rsidRPr="005F7F6A" w:rsidRDefault="00943625" w:rsidP="006821F3">
      <w:pPr>
        <w:tabs>
          <w:tab w:val="left" w:pos="720"/>
          <w:tab w:val="left" w:pos="1080"/>
          <w:tab w:val="left" w:pos="7200"/>
        </w:tabs>
        <w:autoSpaceDE w:val="0"/>
        <w:autoSpaceDN w:val="0"/>
        <w:adjustRightInd w:val="0"/>
        <w:jc w:val="both"/>
        <w:rPr>
          <w:iCs/>
          <w:color w:val="000000"/>
        </w:rPr>
      </w:pPr>
      <w:r w:rsidRPr="005F7F6A">
        <w:rPr>
          <w:iCs/>
          <w:color w:val="000000"/>
        </w:rPr>
        <w:tab/>
      </w:r>
      <w:r w:rsidR="00B117F3" w:rsidRPr="005F7F6A">
        <w:rPr>
          <w:iCs/>
          <w:color w:val="000000"/>
        </w:rPr>
        <w:t>Organization analys</w:t>
      </w:r>
      <w:r w:rsidR="00F41C92" w:rsidRPr="005F7F6A">
        <w:rPr>
          <w:iCs/>
          <w:color w:val="000000"/>
        </w:rPr>
        <w:t>is</w:t>
      </w:r>
      <w:r w:rsidR="00F41C92" w:rsidRPr="005F7F6A">
        <w:rPr>
          <w:iCs/>
          <w:color w:val="000000"/>
        </w:rPr>
        <w:tab/>
      </w:r>
      <w:r w:rsidR="00EB15C9">
        <w:rPr>
          <w:iCs/>
          <w:color w:val="000000"/>
        </w:rPr>
        <w:t>15</w:t>
      </w:r>
      <w:r w:rsidR="00B117F3" w:rsidRPr="005F7F6A">
        <w:rPr>
          <w:iCs/>
          <w:color w:val="000000"/>
        </w:rPr>
        <w:t>%</w:t>
      </w:r>
    </w:p>
    <w:p w:rsidR="00B57B38" w:rsidRPr="005F7F6A" w:rsidRDefault="00B117F3" w:rsidP="00F41C92">
      <w:pPr>
        <w:pStyle w:val="ListParagraph"/>
        <w:tabs>
          <w:tab w:val="left" w:pos="720"/>
          <w:tab w:val="left" w:pos="1440"/>
          <w:tab w:val="left" w:pos="7200"/>
        </w:tabs>
        <w:autoSpaceDE w:val="0"/>
        <w:autoSpaceDN w:val="0"/>
        <w:adjustRightInd w:val="0"/>
        <w:jc w:val="both"/>
        <w:rPr>
          <w:iCs/>
          <w:color w:val="000000"/>
        </w:rPr>
      </w:pPr>
      <w:r w:rsidRPr="005F7F6A">
        <w:rPr>
          <w:iCs/>
          <w:color w:val="000000"/>
        </w:rPr>
        <w:t>(</w:t>
      </w:r>
      <w:r w:rsidR="00F807A2" w:rsidRPr="005F7F6A">
        <w:rPr>
          <w:iCs/>
          <w:color w:val="000000"/>
        </w:rPr>
        <w:t xml:space="preserve">A </w:t>
      </w:r>
      <w:r w:rsidRPr="005F7F6A">
        <w:rPr>
          <w:iCs/>
          <w:color w:val="000000"/>
        </w:rPr>
        <w:t>written analysis and presentation in class during last week)</w:t>
      </w:r>
    </w:p>
    <w:p w:rsidR="00B706D4" w:rsidRPr="005F7F6A" w:rsidRDefault="00B706D4" w:rsidP="00C76BE6">
      <w:pPr>
        <w:tabs>
          <w:tab w:val="left" w:pos="720"/>
          <w:tab w:val="left" w:pos="1440"/>
          <w:tab w:val="left" w:pos="7200"/>
        </w:tabs>
        <w:rPr>
          <w:iCs/>
          <w:color w:val="000000"/>
        </w:rPr>
      </w:pPr>
      <w:r w:rsidRPr="005F7F6A">
        <w:rPr>
          <w:b/>
          <w:iCs/>
          <w:color w:val="000000"/>
        </w:rPr>
        <w:t>Total</w:t>
      </w:r>
      <w:r w:rsidR="00F41C92" w:rsidRPr="005F7F6A">
        <w:rPr>
          <w:iCs/>
          <w:color w:val="000000"/>
        </w:rPr>
        <w:tab/>
      </w:r>
      <w:r w:rsidR="00F41C92" w:rsidRPr="005F7F6A">
        <w:rPr>
          <w:iCs/>
          <w:color w:val="000000"/>
        </w:rPr>
        <w:tab/>
      </w:r>
      <w:r w:rsidR="0040649F" w:rsidRPr="005F7F6A">
        <w:rPr>
          <w:iCs/>
          <w:color w:val="000000"/>
        </w:rPr>
        <w:tab/>
      </w:r>
      <w:r w:rsidRPr="005F7F6A">
        <w:rPr>
          <w:iCs/>
          <w:color w:val="000000"/>
        </w:rPr>
        <w:t>100%</w:t>
      </w:r>
    </w:p>
    <w:p w:rsidR="00C76BE6" w:rsidRPr="005F7F6A" w:rsidRDefault="00C76BE6" w:rsidP="00C76BE6">
      <w:pPr>
        <w:tabs>
          <w:tab w:val="left" w:pos="720"/>
          <w:tab w:val="left" w:pos="1440"/>
          <w:tab w:val="left" w:pos="7200"/>
        </w:tabs>
        <w:rPr>
          <w:iCs/>
          <w:color w:val="000000"/>
        </w:rPr>
      </w:pPr>
    </w:p>
    <w:p w:rsidR="001A40D1" w:rsidRPr="005F7F6A" w:rsidRDefault="001A40D1" w:rsidP="00F807A2">
      <w:pPr>
        <w:pStyle w:val="sidehead"/>
        <w:tabs>
          <w:tab w:val="clear" w:pos="1440"/>
          <w:tab w:val="clear" w:pos="5760"/>
          <w:tab w:val="left" w:pos="540"/>
        </w:tabs>
        <w:jc w:val="left"/>
        <w:rPr>
          <w:rFonts w:ascii="Times New Roman" w:hAnsi="Times New Roman"/>
          <w:szCs w:val="24"/>
        </w:rPr>
      </w:pPr>
      <w:r w:rsidRPr="005F7F6A">
        <w:rPr>
          <w:rFonts w:ascii="Times New Roman" w:hAnsi="Times New Roman"/>
          <w:szCs w:val="24"/>
        </w:rPr>
        <w:t>Class Participation &amp; Contribution—1</w:t>
      </w:r>
      <w:r w:rsidR="002A6FFB">
        <w:rPr>
          <w:rFonts w:ascii="Times New Roman" w:hAnsi="Times New Roman"/>
          <w:szCs w:val="24"/>
        </w:rPr>
        <w:t>5</w:t>
      </w:r>
      <w:r w:rsidR="006F3B3C" w:rsidRPr="005F7F6A">
        <w:rPr>
          <w:rFonts w:ascii="Times New Roman" w:hAnsi="Times New Roman"/>
          <w:szCs w:val="24"/>
        </w:rPr>
        <w:t>%</w:t>
      </w:r>
    </w:p>
    <w:p w:rsidR="001A40D1" w:rsidRPr="005F7F6A" w:rsidRDefault="001A40D1" w:rsidP="00F807A2">
      <w:pPr>
        <w:tabs>
          <w:tab w:val="left" w:pos="540"/>
        </w:tabs>
      </w:pPr>
      <w:r w:rsidRPr="005F7F6A">
        <w:t xml:space="preserve">You will have the opportunity throughout the semester to participate in class discussions, team </w:t>
      </w:r>
      <w:r w:rsidR="006F3B3C" w:rsidRPr="005F7F6A">
        <w:t>presentations</w:t>
      </w:r>
      <w:r w:rsidRPr="005F7F6A">
        <w:t xml:space="preserve"> and experiential exercises.  Active participation is essential to your success in this course and to your overall learning experience.  Active learning is a necessary part of case analysis, discussion, and presentation and cannot be accomplished otherwise.  Quizzes on the course materials may be administered throughout the semester—with or without notification. </w:t>
      </w:r>
    </w:p>
    <w:p w:rsidR="00F807A2" w:rsidRPr="005F7F6A" w:rsidRDefault="00F807A2" w:rsidP="00F807A2">
      <w:pPr>
        <w:tabs>
          <w:tab w:val="left" w:pos="540"/>
        </w:tabs>
      </w:pPr>
    </w:p>
    <w:p w:rsidR="00F807A2" w:rsidRPr="005F7F6A" w:rsidRDefault="00F807A2" w:rsidP="00F807A2">
      <w:pPr>
        <w:tabs>
          <w:tab w:val="left" w:pos="540"/>
        </w:tabs>
        <w:rPr>
          <w:b/>
        </w:rPr>
      </w:pPr>
      <w:r w:rsidRPr="005F7F6A">
        <w:rPr>
          <w:b/>
        </w:rPr>
        <w:t>Interview of a HR Manager – 10%</w:t>
      </w:r>
    </w:p>
    <w:p w:rsidR="00F807A2" w:rsidRPr="005F7F6A" w:rsidRDefault="00F807A2" w:rsidP="00F807A2">
      <w:r w:rsidRPr="005F7F6A">
        <w:t>The first external assignment is to interview a manager or HR manager with a focus on how their organization recruits, selects, trains, motivates, compensates, measures performance, and retains their employees.  Also include any other topic that is important to the manager being interviewed relating to managing and developing people who work for them in the organization.  The general question is understanding how they manage their human capital and talent.</w:t>
      </w:r>
    </w:p>
    <w:p w:rsidR="00F807A2" w:rsidRPr="005F7F6A" w:rsidRDefault="00F807A2" w:rsidP="00F807A2">
      <w:pPr>
        <w:tabs>
          <w:tab w:val="left" w:pos="540"/>
        </w:tabs>
      </w:pPr>
    </w:p>
    <w:p w:rsidR="00F807A2" w:rsidRPr="005F7F6A" w:rsidRDefault="002A6FFB" w:rsidP="00F807A2">
      <w:pPr>
        <w:pStyle w:val="sidehead"/>
        <w:tabs>
          <w:tab w:val="clear" w:pos="1440"/>
          <w:tab w:val="clear" w:pos="5760"/>
          <w:tab w:val="left" w:pos="540"/>
        </w:tabs>
        <w:jc w:val="left"/>
        <w:rPr>
          <w:rFonts w:ascii="Times New Roman" w:hAnsi="Times New Roman"/>
          <w:szCs w:val="24"/>
        </w:rPr>
      </w:pPr>
      <w:r>
        <w:rPr>
          <w:rFonts w:ascii="Times New Roman" w:hAnsi="Times New Roman"/>
          <w:szCs w:val="24"/>
        </w:rPr>
        <w:t>Written Case Notes (Select 8</w:t>
      </w:r>
      <w:r w:rsidR="00F807A2" w:rsidRPr="005F7F6A">
        <w:rPr>
          <w:rFonts w:ascii="Times New Roman" w:hAnsi="Times New Roman"/>
          <w:szCs w:val="24"/>
        </w:rPr>
        <w:t xml:space="preserve"> of the assigned cases</w:t>
      </w:r>
      <w:r w:rsidR="00EB15C9">
        <w:rPr>
          <w:rFonts w:ascii="Times New Roman" w:hAnsi="Times New Roman"/>
          <w:szCs w:val="24"/>
        </w:rPr>
        <w:t xml:space="preserve">) – </w:t>
      </w:r>
      <w:r>
        <w:rPr>
          <w:rFonts w:ascii="Times New Roman" w:hAnsi="Times New Roman"/>
          <w:szCs w:val="24"/>
        </w:rPr>
        <w:t>20</w:t>
      </w:r>
      <w:r w:rsidR="00F807A2" w:rsidRPr="005F7F6A">
        <w:rPr>
          <w:rFonts w:ascii="Times New Roman" w:hAnsi="Times New Roman"/>
          <w:szCs w:val="24"/>
        </w:rPr>
        <w:t>%</w:t>
      </w:r>
    </w:p>
    <w:p w:rsidR="00F807A2" w:rsidRPr="005F7F6A" w:rsidRDefault="00F807A2" w:rsidP="00F807A2">
      <w:pPr>
        <w:pStyle w:val="sidehead"/>
        <w:tabs>
          <w:tab w:val="clear" w:pos="1440"/>
          <w:tab w:val="clear" w:pos="5760"/>
          <w:tab w:val="left" w:pos="540"/>
        </w:tabs>
        <w:jc w:val="left"/>
        <w:rPr>
          <w:rFonts w:ascii="Times New Roman" w:hAnsi="Times New Roman"/>
          <w:b w:val="0"/>
          <w:szCs w:val="24"/>
        </w:rPr>
      </w:pPr>
      <w:r w:rsidRPr="005F7F6A">
        <w:rPr>
          <w:rFonts w:ascii="Times New Roman" w:hAnsi="Times New Roman"/>
          <w:b w:val="0"/>
          <w:szCs w:val="24"/>
        </w:rPr>
        <w:t xml:space="preserve">Each week there is a case assigned for class discussion.  You will select </w:t>
      </w:r>
      <w:r w:rsidR="002A6FFB">
        <w:rPr>
          <w:rFonts w:ascii="Times New Roman" w:hAnsi="Times New Roman"/>
          <w:b w:val="0"/>
          <w:szCs w:val="24"/>
          <w:u w:val="single"/>
        </w:rPr>
        <w:t>eight</w:t>
      </w:r>
      <w:r w:rsidRPr="005F7F6A">
        <w:rPr>
          <w:rFonts w:ascii="Times New Roman" w:hAnsi="Times New Roman"/>
          <w:b w:val="0"/>
          <w:szCs w:val="24"/>
          <w:u w:val="single"/>
        </w:rPr>
        <w:t xml:space="preserve"> of the 1</w:t>
      </w:r>
      <w:r w:rsidR="002C1BB1">
        <w:rPr>
          <w:rFonts w:ascii="Times New Roman" w:hAnsi="Times New Roman"/>
          <w:b w:val="0"/>
          <w:szCs w:val="24"/>
          <w:u w:val="single"/>
        </w:rPr>
        <w:t>5</w:t>
      </w:r>
      <w:r w:rsidRPr="005F7F6A">
        <w:rPr>
          <w:rFonts w:ascii="Times New Roman" w:hAnsi="Times New Roman"/>
          <w:b w:val="0"/>
          <w:szCs w:val="24"/>
          <w:u w:val="single"/>
        </w:rPr>
        <w:t xml:space="preserve"> cases to write-up and submit notes </w:t>
      </w:r>
      <w:r w:rsidRPr="005F7F6A">
        <w:rPr>
          <w:rFonts w:ascii="Times New Roman" w:hAnsi="Times New Roman"/>
          <w:b w:val="0"/>
          <w:szCs w:val="24"/>
        </w:rPr>
        <w:t xml:space="preserve">(no more than three double-spaced pages of </w:t>
      </w:r>
      <w:r w:rsidR="00F526F7">
        <w:rPr>
          <w:rFonts w:ascii="Times New Roman" w:hAnsi="Times New Roman"/>
          <w:b w:val="0"/>
          <w:szCs w:val="24"/>
        </w:rPr>
        <w:t xml:space="preserve">notes) responding to the </w:t>
      </w:r>
      <w:r w:rsidRPr="005F7F6A">
        <w:rPr>
          <w:rFonts w:ascii="Times New Roman" w:hAnsi="Times New Roman"/>
          <w:b w:val="0"/>
          <w:szCs w:val="24"/>
        </w:rPr>
        <w:t>questions</w:t>
      </w:r>
      <w:r w:rsidR="00F526F7">
        <w:rPr>
          <w:rFonts w:ascii="Times New Roman" w:hAnsi="Times New Roman"/>
          <w:b w:val="0"/>
          <w:szCs w:val="24"/>
        </w:rPr>
        <w:t xml:space="preserve"> posted within the Blackboard Assignment folder</w:t>
      </w:r>
      <w:r w:rsidRPr="005F7F6A">
        <w:rPr>
          <w:rFonts w:ascii="Times New Roman" w:hAnsi="Times New Roman"/>
          <w:b w:val="0"/>
          <w:szCs w:val="24"/>
        </w:rPr>
        <w:t xml:space="preserve">.  </w:t>
      </w:r>
      <w:r w:rsidR="00F526F7">
        <w:rPr>
          <w:rFonts w:ascii="Times New Roman" w:hAnsi="Times New Roman"/>
          <w:b w:val="0"/>
          <w:szCs w:val="24"/>
        </w:rPr>
        <w:t>Please submit 2 before midterm one</w:t>
      </w:r>
      <w:r w:rsidR="002A6FFB">
        <w:rPr>
          <w:rFonts w:ascii="Times New Roman" w:hAnsi="Times New Roman"/>
          <w:b w:val="0"/>
          <w:szCs w:val="24"/>
        </w:rPr>
        <w:t xml:space="preserve">, 3 more before midterm </w:t>
      </w:r>
      <w:r w:rsidR="00F526F7">
        <w:rPr>
          <w:rFonts w:ascii="Times New Roman" w:hAnsi="Times New Roman"/>
          <w:b w:val="0"/>
          <w:szCs w:val="24"/>
        </w:rPr>
        <w:t>two</w:t>
      </w:r>
      <w:r w:rsidR="002A6FFB">
        <w:rPr>
          <w:rFonts w:ascii="Times New Roman" w:hAnsi="Times New Roman"/>
          <w:b w:val="0"/>
          <w:szCs w:val="24"/>
        </w:rPr>
        <w:t>, 3 more before final exam.  Total = 8.</w:t>
      </w:r>
    </w:p>
    <w:p w:rsidR="00F807A2" w:rsidRPr="005F7F6A" w:rsidRDefault="00F807A2" w:rsidP="00F807A2"/>
    <w:p w:rsidR="001A40D1" w:rsidRPr="005F7F6A" w:rsidRDefault="006F3B3C" w:rsidP="00F807A2">
      <w:pPr>
        <w:pStyle w:val="sidehead"/>
        <w:tabs>
          <w:tab w:val="clear" w:pos="1440"/>
          <w:tab w:val="clear" w:pos="5760"/>
          <w:tab w:val="left" w:pos="540"/>
        </w:tabs>
        <w:jc w:val="left"/>
        <w:rPr>
          <w:rFonts w:ascii="Times New Roman" w:hAnsi="Times New Roman"/>
          <w:szCs w:val="24"/>
        </w:rPr>
      </w:pPr>
      <w:r w:rsidRPr="005F7F6A">
        <w:rPr>
          <w:rFonts w:ascii="Times New Roman" w:hAnsi="Times New Roman"/>
          <w:szCs w:val="24"/>
        </w:rPr>
        <w:t>Team Organization Analysis and Pres</w:t>
      </w:r>
      <w:r w:rsidR="00EB15C9">
        <w:rPr>
          <w:rFonts w:ascii="Times New Roman" w:hAnsi="Times New Roman"/>
          <w:szCs w:val="24"/>
        </w:rPr>
        <w:t>entation—15</w:t>
      </w:r>
      <w:r w:rsidR="001A40D1" w:rsidRPr="005F7F6A">
        <w:rPr>
          <w:rFonts w:ascii="Times New Roman" w:hAnsi="Times New Roman"/>
          <w:szCs w:val="24"/>
        </w:rPr>
        <w:t xml:space="preserve">% </w:t>
      </w:r>
    </w:p>
    <w:p w:rsidR="001A40D1" w:rsidRPr="005F7F6A" w:rsidRDefault="001A40D1" w:rsidP="00F807A2">
      <w:pPr>
        <w:pStyle w:val="sidehead"/>
        <w:tabs>
          <w:tab w:val="clear" w:pos="1440"/>
          <w:tab w:val="clear" w:pos="5760"/>
          <w:tab w:val="left" w:pos="540"/>
        </w:tabs>
        <w:jc w:val="left"/>
        <w:rPr>
          <w:rFonts w:ascii="Times New Roman" w:hAnsi="Times New Roman"/>
          <w:b w:val="0"/>
          <w:szCs w:val="24"/>
        </w:rPr>
      </w:pPr>
      <w:r w:rsidRPr="005F7F6A">
        <w:rPr>
          <w:rFonts w:ascii="Times New Roman" w:hAnsi="Times New Roman"/>
          <w:b w:val="0"/>
          <w:szCs w:val="24"/>
        </w:rPr>
        <w:t xml:space="preserve">You will analyze cases in teams throughout the semester.  As part of a team, you will </w:t>
      </w:r>
      <w:r w:rsidR="006F3B3C" w:rsidRPr="005F7F6A">
        <w:rPr>
          <w:rFonts w:ascii="Times New Roman" w:hAnsi="Times New Roman"/>
          <w:b w:val="0"/>
          <w:szCs w:val="24"/>
        </w:rPr>
        <w:t xml:space="preserve">prepare an organization analysis report and </w:t>
      </w:r>
      <w:r w:rsidRPr="005F7F6A">
        <w:rPr>
          <w:rFonts w:ascii="Times New Roman" w:hAnsi="Times New Roman"/>
          <w:b w:val="0"/>
          <w:szCs w:val="24"/>
        </w:rPr>
        <w:t xml:space="preserve">present your </w:t>
      </w:r>
      <w:r w:rsidR="006F3B3C" w:rsidRPr="005F7F6A">
        <w:rPr>
          <w:rFonts w:ascii="Times New Roman" w:hAnsi="Times New Roman"/>
          <w:b w:val="0"/>
          <w:szCs w:val="24"/>
        </w:rPr>
        <w:t>observations</w:t>
      </w:r>
      <w:r w:rsidRPr="005F7F6A">
        <w:rPr>
          <w:rFonts w:ascii="Times New Roman" w:hAnsi="Times New Roman"/>
          <w:b w:val="0"/>
          <w:szCs w:val="24"/>
        </w:rPr>
        <w:t xml:space="preserve"> </w:t>
      </w:r>
      <w:r w:rsidR="006F3B3C" w:rsidRPr="005F7F6A">
        <w:rPr>
          <w:rFonts w:ascii="Times New Roman" w:hAnsi="Times New Roman"/>
          <w:b w:val="0"/>
          <w:szCs w:val="24"/>
        </w:rPr>
        <w:t xml:space="preserve">and </w:t>
      </w:r>
      <w:r w:rsidRPr="005F7F6A">
        <w:rPr>
          <w:rFonts w:ascii="Times New Roman" w:hAnsi="Times New Roman"/>
          <w:b w:val="0"/>
          <w:szCs w:val="24"/>
        </w:rPr>
        <w:t xml:space="preserve">develop your persuasion and argumentation skills. </w:t>
      </w:r>
    </w:p>
    <w:p w:rsidR="00F807A2" w:rsidRPr="005F7F6A" w:rsidRDefault="00F807A2" w:rsidP="00936F8E">
      <w:pPr>
        <w:autoSpaceDE w:val="0"/>
        <w:autoSpaceDN w:val="0"/>
        <w:adjustRightInd w:val="0"/>
        <w:rPr>
          <w:b/>
          <w:color w:val="000000"/>
          <w:u w:val="single"/>
        </w:rPr>
      </w:pPr>
    </w:p>
    <w:p w:rsidR="002C1BB1" w:rsidRDefault="002C1BB1">
      <w:pPr>
        <w:rPr>
          <w:b/>
          <w:color w:val="000000"/>
          <w:u w:val="single"/>
        </w:rPr>
      </w:pPr>
      <w:r>
        <w:rPr>
          <w:b/>
          <w:color w:val="000000"/>
          <w:u w:val="single"/>
        </w:rPr>
        <w:br w:type="page"/>
      </w:r>
    </w:p>
    <w:p w:rsidR="00936F8E" w:rsidRPr="005F7F6A" w:rsidRDefault="00936F8E" w:rsidP="00936F8E">
      <w:pPr>
        <w:autoSpaceDE w:val="0"/>
        <w:autoSpaceDN w:val="0"/>
        <w:adjustRightInd w:val="0"/>
        <w:rPr>
          <w:i/>
          <w:color w:val="000000"/>
          <w:shd w:val="clear" w:color="auto" w:fill="BFBFBF" w:themeFill="background1" w:themeFillShade="BF"/>
        </w:rPr>
      </w:pPr>
      <w:r w:rsidRPr="005F7F6A">
        <w:rPr>
          <w:b/>
          <w:color w:val="000000"/>
          <w:u w:val="single"/>
        </w:rPr>
        <w:lastRenderedPageBreak/>
        <w:t>Assignment Submission Policy:</w:t>
      </w:r>
      <w:r w:rsidRPr="005F7F6A">
        <w:rPr>
          <w:color w:val="000000"/>
        </w:rPr>
        <w:t xml:space="preserve"> </w:t>
      </w:r>
    </w:p>
    <w:p w:rsidR="005F7F6A" w:rsidRPr="005F7F6A" w:rsidRDefault="005F7F6A" w:rsidP="00936F8E">
      <w:pPr>
        <w:autoSpaceDE w:val="0"/>
        <w:autoSpaceDN w:val="0"/>
        <w:adjustRightInd w:val="0"/>
        <w:rPr>
          <w:color w:val="000000"/>
        </w:rPr>
      </w:pPr>
    </w:p>
    <w:p w:rsidR="00936F8E" w:rsidRPr="005F7F6A" w:rsidRDefault="00936F8E" w:rsidP="00936F8E">
      <w:pPr>
        <w:autoSpaceDE w:val="0"/>
        <w:autoSpaceDN w:val="0"/>
        <w:adjustRightInd w:val="0"/>
        <w:rPr>
          <w:color w:val="000000"/>
        </w:rPr>
      </w:pPr>
      <w:r w:rsidRPr="005F7F6A">
        <w:rPr>
          <w:color w:val="000000"/>
        </w:rPr>
        <w:t xml:space="preserve">Assignments must be turned in on the due date and time as requested electronically via Blackboard. Any assignment turned in late, even if by only a few minutes, will receive a grade deduction (for example, if your work is a B+ grade, you will be given a C+ grade). If your internet breaks down on the due date, you must deliver a hard copy at the beginning of class on that day. If you are unable to attend class on that day, make arrangements for it to be delivered to the classroom or to my box by the start of class. Late or not, however, you must complete all required assignments to pass this course. </w:t>
      </w:r>
    </w:p>
    <w:p w:rsidR="00936F8E" w:rsidRPr="005F7F6A" w:rsidRDefault="00936F8E" w:rsidP="00936F8E">
      <w:pPr>
        <w:autoSpaceDE w:val="0"/>
        <w:autoSpaceDN w:val="0"/>
        <w:adjustRightInd w:val="0"/>
        <w:rPr>
          <w:color w:val="000000"/>
        </w:rPr>
      </w:pPr>
    </w:p>
    <w:p w:rsidR="00B278C2" w:rsidRDefault="00B278C2" w:rsidP="00B278C2">
      <w:r>
        <w:rPr>
          <w:b/>
          <w:bCs/>
          <w:u w:val="single"/>
        </w:rPr>
        <w:t>USC Marshall Critical Thinking Initiative:</w:t>
      </w:r>
    </w:p>
    <w:p w:rsidR="00B278C2" w:rsidRDefault="00B278C2" w:rsidP="00B278C2"/>
    <w:p w:rsidR="00B278C2" w:rsidRDefault="00B278C2" w:rsidP="00B278C2">
      <w:r>
        <w:t>The USC Marshall Critical Thinking Initiative is a school-wide effort to improve your critical thinking skills in order to be more successful problem solvers in class and in the workplace.  This means that you will engage in a variety of learning activities in your courses which are aimed at developing and applying your critical thinking skills in a disciplined manner so that you can outperform others to get your desired job and to further excel in your career.  Your ability to think critically is an important part of the evaluation/grading process in this course.  The centerpiece of Marshall’s critical thinking knowledge is a website that contains instructional materials and videos. During the course of the semester, the instructor may direct you to these instructional resources prior to various class discussions and exercises.</w:t>
      </w:r>
    </w:p>
    <w:p w:rsidR="00E62752" w:rsidRPr="00E62752" w:rsidRDefault="00E62752" w:rsidP="00E62752">
      <w:pPr>
        <w:shd w:val="clear" w:color="auto" w:fill="FFFFFF"/>
        <w:spacing w:before="100" w:beforeAutospacing="1" w:after="240"/>
        <w:ind w:right="-270"/>
        <w:rPr>
          <w:rFonts w:ascii="Arial" w:hAnsi="Arial" w:cs="Arial"/>
          <w:color w:val="111111"/>
        </w:rPr>
      </w:pPr>
      <w:r w:rsidRPr="00E62752">
        <w:t xml:space="preserve">This video is located on the USC Critical Thinking Initiative website: </w:t>
      </w:r>
      <w:hyperlink r:id="rId10" w:history="1">
        <w:r w:rsidRPr="00E62752">
          <w:rPr>
            <w:color w:val="0000FF"/>
            <w:u w:val="single"/>
          </w:rPr>
          <w:t>http://info.marshall.usc.edu/faculty/critthink/Pages/default.aspx</w:t>
        </w:r>
      </w:hyperlink>
      <w:r w:rsidRPr="00E62752">
        <w:t>.  </w:t>
      </w:r>
    </w:p>
    <w:p w:rsidR="00DB3461" w:rsidRDefault="00DB3461">
      <w:pPr>
        <w:rPr>
          <w:b/>
          <w:u w:val="single"/>
        </w:rPr>
      </w:pPr>
    </w:p>
    <w:p w:rsidR="00936F8E" w:rsidRPr="005F7F6A" w:rsidRDefault="00936F8E" w:rsidP="00936F8E">
      <w:pPr>
        <w:jc w:val="center"/>
        <w:outlineLvl w:val="0"/>
        <w:rPr>
          <w:b/>
          <w:u w:val="single"/>
        </w:rPr>
      </w:pPr>
      <w:r w:rsidRPr="005F7F6A">
        <w:rPr>
          <w:b/>
          <w:u w:val="single"/>
        </w:rPr>
        <w:t>MARSHALL GUIDELINES</w:t>
      </w:r>
    </w:p>
    <w:p w:rsidR="00936F8E" w:rsidRPr="005F7F6A" w:rsidRDefault="00936F8E" w:rsidP="00936F8E">
      <w:pPr>
        <w:jc w:val="center"/>
        <w:rPr>
          <w:b/>
          <w:u w:val="single"/>
        </w:rPr>
      </w:pPr>
    </w:p>
    <w:p w:rsidR="005F7F6A" w:rsidRPr="005F7F6A" w:rsidRDefault="00936F8E" w:rsidP="00936F8E">
      <w:pPr>
        <w:pStyle w:val="CommentText"/>
        <w:rPr>
          <w:bCs/>
        </w:rPr>
      </w:pPr>
      <w:r w:rsidRPr="005F7F6A">
        <w:rPr>
          <w:b/>
          <w:iCs/>
          <w:u w:val="single"/>
        </w:rPr>
        <w:t>Add/Drop Process</w:t>
      </w:r>
      <w:r w:rsidRPr="005F7F6A">
        <w:rPr>
          <w:b/>
          <w:bCs/>
          <w:u w:val="single"/>
        </w:rPr>
        <w:t xml:space="preserve"> </w:t>
      </w:r>
      <w:r w:rsidRPr="005F7F6A">
        <w:rPr>
          <w:b/>
          <w:bCs/>
          <w:u w:val="single"/>
        </w:rPr>
        <w:br/>
      </w:r>
    </w:p>
    <w:p w:rsidR="00936F8E" w:rsidRPr="005F7F6A" w:rsidRDefault="00936F8E" w:rsidP="00936F8E">
      <w:pPr>
        <w:pStyle w:val="CommentText"/>
        <w:rPr>
          <w:shd w:val="clear" w:color="auto" w:fill="BFBFBF" w:themeFill="background1" w:themeFillShade="BF"/>
        </w:rPr>
      </w:pPr>
      <w:r w:rsidRPr="005F7F6A">
        <w:rPr>
          <w:bCs/>
        </w:rPr>
        <w:t xml:space="preserve">If you are absent six or </w:t>
      </w:r>
      <w:r w:rsidR="002A6FFB">
        <w:rPr>
          <w:bCs/>
        </w:rPr>
        <w:t xml:space="preserve">more times </w:t>
      </w:r>
      <w:r w:rsidR="00DF6405">
        <w:rPr>
          <w:bCs/>
        </w:rPr>
        <w:t>prior to November 15</w:t>
      </w:r>
      <w:r w:rsidR="003859D9">
        <w:rPr>
          <w:bCs/>
        </w:rPr>
        <w:t>th</w:t>
      </w:r>
      <w:r w:rsidRPr="005F7F6A">
        <w:rPr>
          <w:bCs/>
          <w:color w:val="FF0000"/>
        </w:rPr>
        <w:t xml:space="preserve"> </w:t>
      </w:r>
      <w:r w:rsidRPr="005F7F6A">
        <w:rPr>
          <w:bCs/>
        </w:rPr>
        <w:t xml:space="preserve">(the last day to withdraw from a course with a grade of “W”), I may ask you to withdraw from the class by that date. </w:t>
      </w:r>
      <w:r w:rsidRPr="005F7F6A">
        <w:t xml:space="preserve">These policies maintain professionalism and ensure a system that is fair to all students.  </w:t>
      </w:r>
    </w:p>
    <w:p w:rsidR="00936F8E" w:rsidRPr="005F7F6A" w:rsidRDefault="00936F8E" w:rsidP="00936F8E">
      <w:pPr>
        <w:rPr>
          <w:bCs/>
          <w:color w:val="000000"/>
          <w:highlight w:val="yellow"/>
        </w:rPr>
      </w:pPr>
    </w:p>
    <w:p w:rsidR="00936F8E" w:rsidRPr="005F7F6A" w:rsidRDefault="00936F8E" w:rsidP="00936F8E">
      <w:pPr>
        <w:autoSpaceDE w:val="0"/>
        <w:autoSpaceDN w:val="0"/>
        <w:adjustRightInd w:val="0"/>
        <w:rPr>
          <w:b/>
          <w:bCs/>
          <w:color w:val="000000"/>
          <w:u w:val="single"/>
          <w:shd w:val="clear" w:color="auto" w:fill="BFBFBF" w:themeFill="background1" w:themeFillShade="BF"/>
        </w:rPr>
      </w:pPr>
      <w:r w:rsidRPr="005F7F6A">
        <w:rPr>
          <w:b/>
          <w:u w:val="single"/>
        </w:rPr>
        <w:t>Retention of Graded Coursework</w:t>
      </w:r>
      <w:r w:rsidRPr="005F7F6A">
        <w:rPr>
          <w:b/>
          <w:bCs/>
          <w:color w:val="000000"/>
          <w:u w:val="single"/>
          <w:shd w:val="clear" w:color="auto" w:fill="BFBFBF" w:themeFill="background1" w:themeFillShade="BF"/>
        </w:rPr>
        <w:t xml:space="preserve"> </w:t>
      </w:r>
    </w:p>
    <w:p w:rsidR="005F7F6A" w:rsidRPr="005F7F6A" w:rsidRDefault="005F7F6A" w:rsidP="00936F8E"/>
    <w:p w:rsidR="00936F8E" w:rsidRPr="005F7F6A" w:rsidRDefault="00936F8E" w:rsidP="00936F8E">
      <w:r w:rsidRPr="005F7F6A">
        <w:t xml:space="preserve">Final exams and all other graded work which affected the course grade will be retained for one year after the end of the course </w:t>
      </w:r>
      <w:r w:rsidRPr="005F7F6A">
        <w:rPr>
          <w:b/>
          <w:i/>
        </w:rPr>
        <w:t>if</w:t>
      </w:r>
      <w:r w:rsidRPr="005F7F6A">
        <w:t xml:space="preserve"> the graded work has not been returned to the student (i.e., if I returned a graded paper to you, it is your responsibility to file it, not mine).</w:t>
      </w:r>
    </w:p>
    <w:p w:rsidR="00936F8E" w:rsidRPr="005F7F6A" w:rsidRDefault="00936F8E" w:rsidP="00936F8E">
      <w:pPr>
        <w:rPr>
          <w:b/>
          <w:bCs/>
        </w:rPr>
      </w:pPr>
    </w:p>
    <w:p w:rsidR="00936F8E" w:rsidRPr="005F7F6A" w:rsidRDefault="00936F8E" w:rsidP="00936F8E">
      <w:pPr>
        <w:rPr>
          <w:b/>
          <w:bCs/>
          <w:u w:val="single"/>
        </w:rPr>
      </w:pPr>
      <w:r w:rsidRPr="005F7F6A">
        <w:rPr>
          <w:b/>
          <w:bCs/>
          <w:u w:val="single"/>
        </w:rPr>
        <w:t>Technology Policy</w:t>
      </w:r>
    </w:p>
    <w:p w:rsidR="005F7F6A" w:rsidRPr="005F7F6A" w:rsidRDefault="005F7F6A" w:rsidP="00936F8E"/>
    <w:p w:rsidR="00936F8E" w:rsidRPr="005F7F6A" w:rsidRDefault="00936F8E" w:rsidP="00936F8E">
      <w:pPr>
        <w:rPr>
          <w:bCs/>
        </w:rPr>
      </w:pPr>
      <w:r w:rsidRPr="005F7F6A">
        <w:t xml:space="preserve">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Unless specifically allowed, ANY e-devices (cell phones, PDAs, I-Phones, Blackberries, other texting devices, laptops, </w:t>
      </w:r>
      <w:proofErr w:type="gramStart"/>
      <w:r w:rsidRPr="005F7F6A">
        <w:t>I</w:t>
      </w:r>
      <w:proofErr w:type="gramEnd"/>
      <w:r w:rsidRPr="005F7F6A">
        <w:t xml:space="preserve">-pods) must be completely turned off during class time. Upon request, you must comply and put </w:t>
      </w:r>
      <w:r w:rsidRPr="005F7F6A">
        <w:lastRenderedPageBreak/>
        <w:t>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or distributed material is reserved exclusively for the USC students registered in this class.</w:t>
      </w:r>
    </w:p>
    <w:p w:rsidR="00936F8E" w:rsidRPr="005F7F6A" w:rsidRDefault="00936F8E" w:rsidP="00936F8E"/>
    <w:p w:rsidR="00936F8E" w:rsidRPr="005F7F6A" w:rsidRDefault="00936F8E" w:rsidP="00936F8E">
      <w:pPr>
        <w:widowControl w:val="0"/>
        <w:autoSpaceDE w:val="0"/>
        <w:autoSpaceDN w:val="0"/>
        <w:adjustRightInd w:val="0"/>
      </w:pPr>
      <w:r w:rsidRPr="005F7F6A">
        <w:rPr>
          <w:b/>
          <w:bCs/>
          <w:color w:val="000000"/>
          <w:u w:val="single"/>
        </w:rPr>
        <w:t xml:space="preserve">Statement on Academic Integrity </w:t>
      </w:r>
    </w:p>
    <w:p w:rsidR="005F7F6A" w:rsidRPr="005F7F6A" w:rsidRDefault="005F7F6A" w:rsidP="00936F8E"/>
    <w:p w:rsidR="00936F8E" w:rsidRPr="005F7F6A" w:rsidRDefault="00936F8E" w:rsidP="00936F8E">
      <w:r w:rsidRPr="005F7F6A">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F7F6A">
        <w:rPr>
          <w:i/>
        </w:rPr>
        <w:t>SCampus</w:t>
      </w:r>
      <w:proofErr w:type="spellEnd"/>
      <w:r w:rsidRPr="005F7F6A">
        <w:t>, the Student Guidebook, (</w:t>
      </w:r>
      <w:hyperlink r:id="rId11" w:history="1">
        <w:r w:rsidRPr="005F7F6A">
          <w:rPr>
            <w:rStyle w:val="Hyperlink"/>
          </w:rPr>
          <w:t>www.usc.edu/scampus</w:t>
        </w:r>
      </w:hyperlink>
      <w:r w:rsidRPr="005F7F6A">
        <w:t xml:space="preserve"> or </w:t>
      </w:r>
      <w:hyperlink r:id="rId12" w:history="1">
        <w:r w:rsidRPr="005F7F6A">
          <w:rPr>
            <w:rStyle w:val="Hyperlink"/>
          </w:rPr>
          <w:t>http://scampus.usc.edu</w:t>
        </w:r>
      </w:hyperlink>
      <w:r w:rsidRPr="005F7F6A">
        <w:t xml:space="preserve">) contains the University Student Conduct Code (see University Governance, Section 11.00), while the recommended sanctions are located in Appendix A. </w:t>
      </w:r>
    </w:p>
    <w:p w:rsidR="00936F8E" w:rsidRPr="005F7F6A" w:rsidRDefault="00936F8E" w:rsidP="00936F8E">
      <w:pPr>
        <w:jc w:val="both"/>
      </w:pPr>
    </w:p>
    <w:p w:rsidR="00936F8E" w:rsidRPr="005F7F6A" w:rsidRDefault="00936F8E" w:rsidP="00936F8E">
      <w:r w:rsidRPr="005F7F6A">
        <w:t xml:space="preserve">Students will be referred to the Office of Student Judicial Affairs and Community Standards for further review, should there be any suspicion of academic dishonesty. The Review process can be found at: </w:t>
      </w:r>
      <w:hyperlink r:id="rId13" w:history="1">
        <w:r w:rsidRPr="005F7F6A">
          <w:rPr>
            <w:rStyle w:val="Hyperlink"/>
          </w:rPr>
          <w:t>http://www.usc.edu/student-affairs/SJACS/</w:t>
        </w:r>
      </w:hyperlink>
      <w:r w:rsidRPr="005F7F6A">
        <w:t>. Failure to adhere to the academic conduct standards set forth by these guidelines and our programs will not be tolerated by the USC Marshall community and can lead to dismissal.</w:t>
      </w:r>
    </w:p>
    <w:p w:rsidR="00936F8E" w:rsidRPr="005F7F6A" w:rsidRDefault="00936F8E" w:rsidP="00936F8E"/>
    <w:p w:rsidR="00936F8E" w:rsidRPr="005F7F6A" w:rsidRDefault="00936F8E" w:rsidP="00936F8E">
      <w:pPr>
        <w:widowControl w:val="0"/>
        <w:autoSpaceDE w:val="0"/>
        <w:autoSpaceDN w:val="0"/>
        <w:adjustRightInd w:val="0"/>
      </w:pPr>
      <w:r w:rsidRPr="005F7F6A">
        <w:rPr>
          <w:b/>
          <w:u w:val="single"/>
        </w:rPr>
        <w:t xml:space="preserve">Emergency Preparedness / Course Continuity </w:t>
      </w:r>
      <w:r w:rsidRPr="005F7F6A">
        <w:rPr>
          <w:b/>
          <w:bCs/>
          <w:color w:val="000000"/>
          <w:u w:val="single"/>
        </w:rPr>
        <w:t xml:space="preserve"> </w:t>
      </w:r>
    </w:p>
    <w:p w:rsidR="005F7F6A" w:rsidRPr="005F7F6A" w:rsidRDefault="005F7F6A" w:rsidP="00936F8E">
      <w:pPr>
        <w:widowControl w:val="0"/>
        <w:autoSpaceDE w:val="0"/>
        <w:autoSpaceDN w:val="0"/>
        <w:adjustRightInd w:val="0"/>
      </w:pPr>
    </w:p>
    <w:p w:rsidR="00936F8E" w:rsidRPr="005F7F6A" w:rsidRDefault="00936F8E" w:rsidP="00936F8E">
      <w:pPr>
        <w:widowControl w:val="0"/>
        <w:autoSpaceDE w:val="0"/>
        <w:autoSpaceDN w:val="0"/>
        <w:adjustRightInd w:val="0"/>
      </w:pPr>
      <w:r w:rsidRPr="005F7F6A">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936F8E" w:rsidRPr="005F7F6A" w:rsidRDefault="00936F8E" w:rsidP="00936F8E">
      <w:pPr>
        <w:widowControl w:val="0"/>
        <w:autoSpaceDE w:val="0"/>
        <w:autoSpaceDN w:val="0"/>
        <w:adjustRightInd w:val="0"/>
      </w:pPr>
    </w:p>
    <w:p w:rsidR="00936F8E" w:rsidRPr="005F7F6A" w:rsidRDefault="00936F8E" w:rsidP="00936F8E">
      <w:pPr>
        <w:widowControl w:val="0"/>
        <w:autoSpaceDE w:val="0"/>
        <w:autoSpaceDN w:val="0"/>
        <w:adjustRightInd w:val="0"/>
      </w:pPr>
      <w:r w:rsidRPr="005F7F6A">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14" w:history="1">
        <w:r w:rsidRPr="005F7F6A">
          <w:rPr>
            <w:u w:val="single" w:color="1237A5"/>
          </w:rPr>
          <w:t>blackboard.usc.edu</w:t>
        </w:r>
      </w:hyperlink>
      <w:r w:rsidRPr="005F7F6A">
        <w:t>.</w:t>
      </w:r>
    </w:p>
    <w:p w:rsidR="00936F8E" w:rsidRDefault="00936F8E" w:rsidP="00936F8E">
      <w:pPr>
        <w:autoSpaceDE w:val="0"/>
        <w:autoSpaceDN w:val="0"/>
        <w:adjustRightInd w:val="0"/>
        <w:rPr>
          <w:b/>
        </w:rPr>
      </w:pPr>
    </w:p>
    <w:p w:rsidR="002C1BB1" w:rsidRDefault="002C1BB1">
      <w:pPr>
        <w:rPr>
          <w:b/>
          <w:u w:val="single"/>
        </w:rPr>
      </w:pPr>
    </w:p>
    <w:p w:rsidR="00936F8E" w:rsidRPr="005F7F6A" w:rsidRDefault="00936F8E" w:rsidP="00936F8E">
      <w:r w:rsidRPr="005F7F6A">
        <w:rPr>
          <w:b/>
          <w:u w:val="single"/>
        </w:rPr>
        <w:t>Incomplete Grades</w:t>
      </w:r>
      <w:r w:rsidRPr="005F7F6A">
        <w:rPr>
          <w:b/>
          <w:bCs/>
          <w:color w:val="000000"/>
          <w:u w:val="single"/>
          <w:shd w:val="clear" w:color="auto" w:fill="BFBFBF" w:themeFill="background1" w:themeFillShade="BF"/>
        </w:rPr>
        <w:t xml:space="preserve"> </w:t>
      </w:r>
    </w:p>
    <w:p w:rsidR="005F7F6A" w:rsidRPr="005F7F6A" w:rsidRDefault="005F7F6A" w:rsidP="00936F8E"/>
    <w:p w:rsidR="00936F8E" w:rsidRPr="00843976" w:rsidRDefault="00936F8E" w:rsidP="00936F8E">
      <w:r w:rsidRPr="00843976">
        <w:t>A mark of IN (incomplete)  may be assigned when work is not completed because of a documented illness or other “emergency” that occurs after the 12</w:t>
      </w:r>
      <w:r w:rsidRPr="00843976">
        <w:rPr>
          <w:vertAlign w:val="superscript"/>
        </w:rPr>
        <w:t>th</w:t>
      </w:r>
      <w:r w:rsidRPr="00843976">
        <w:t xml:space="preserve"> week of the semester (or the twelfth week equivalent for any course that is scheduled for less than 15 weeks).  </w:t>
      </w:r>
    </w:p>
    <w:p w:rsidR="00936F8E" w:rsidRPr="00843976" w:rsidRDefault="00936F8E" w:rsidP="00936F8E"/>
    <w:p w:rsidR="00936F8E" w:rsidRPr="00843976" w:rsidRDefault="00936F8E" w:rsidP="00936F8E">
      <w:r w:rsidRPr="00843976">
        <w:t>An “emergency” is defined as a serious documented illness, or an unforeseen situation that is beyond the student’s control, that prevents a student from completing the semester.  Prior to the 12</w:t>
      </w:r>
      <w:r w:rsidRPr="00843976">
        <w:rPr>
          <w:vertAlign w:val="superscript"/>
        </w:rPr>
        <w:t>th</w:t>
      </w:r>
      <w:r w:rsidRPr="00843976">
        <w:t xml:space="preserve"> week, the student still has the option of dropping the class.  Arrangements for completing an IN must be initiated by the student and agreed to by the instructor prior to the final examination.  If an Incomplete is assigned as the student’s grade, the instructor is required to fill out an “</w:t>
      </w:r>
      <w:r w:rsidRPr="00843976">
        <w:rPr>
          <w:b/>
          <w:bCs/>
        </w:rPr>
        <w:t xml:space="preserve">Assignment of an Incomplete (IN) and Requirements for </w:t>
      </w:r>
      <w:r w:rsidRPr="00843976">
        <w:rPr>
          <w:b/>
          <w:bCs/>
        </w:rPr>
        <w:lastRenderedPageBreak/>
        <w:t xml:space="preserve">Completion” </w:t>
      </w:r>
      <w:r w:rsidRPr="00843976">
        <w:rPr>
          <w:bCs/>
        </w:rPr>
        <w:t>form (</w:t>
      </w:r>
      <w:hyperlink r:id="rId15" w:history="1">
        <w:r w:rsidRPr="00843976">
          <w:rPr>
            <w:rStyle w:val="Hyperlink"/>
            <w:bCs/>
          </w:rPr>
          <w:t>http://www.usc.edu/dept/ARR/grades/index.html</w:t>
        </w:r>
      </w:hyperlink>
      <w:r w:rsidRPr="00843976">
        <w:rPr>
          <w:bCs/>
        </w:rPr>
        <w:t xml:space="preserve">) </w:t>
      </w:r>
      <w:r w:rsidRPr="00843976">
        <w:t>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w:t>
      </w:r>
    </w:p>
    <w:p w:rsidR="00936F8E" w:rsidRPr="00843976" w:rsidRDefault="00936F8E" w:rsidP="00936F8E"/>
    <w:p w:rsidR="00936F8E" w:rsidRPr="00843976" w:rsidRDefault="00936F8E" w:rsidP="00936F8E">
      <w:pPr>
        <w:widowControl w:val="0"/>
        <w:autoSpaceDE w:val="0"/>
        <w:autoSpaceDN w:val="0"/>
        <w:adjustRightInd w:val="0"/>
        <w:rPr>
          <w:b/>
          <w:u w:val="single"/>
        </w:rPr>
      </w:pPr>
      <w:r w:rsidRPr="00843976">
        <w:rPr>
          <w:b/>
          <w:u w:val="single"/>
        </w:rPr>
        <w:t>Lost and Found</w:t>
      </w:r>
    </w:p>
    <w:p w:rsidR="00936F8E" w:rsidRDefault="00936F8E" w:rsidP="00936F8E">
      <w:pPr>
        <w:tabs>
          <w:tab w:val="left" w:pos="-720"/>
        </w:tabs>
      </w:pPr>
      <w:r w:rsidRPr="00843976">
        <w:t xml:space="preserve">The Lost and Found area for the Marshall School is located in </w:t>
      </w:r>
      <w:r w:rsidRPr="00843976">
        <w:rPr>
          <w:b/>
        </w:rPr>
        <w:t>BRI 205</w:t>
      </w:r>
      <w:r w:rsidRPr="00843976">
        <w:t>. If you leave anything behind after class, it will be taken there. Conversely, if you lose an item, you should report your loss to the Lost and Found. Someone will contact you if your item shows up.</w:t>
      </w:r>
    </w:p>
    <w:p w:rsidR="00843976" w:rsidRPr="00843976" w:rsidRDefault="00843976" w:rsidP="00936F8E">
      <w:pPr>
        <w:tabs>
          <w:tab w:val="left" w:pos="-720"/>
        </w:tabs>
      </w:pPr>
    </w:p>
    <w:p w:rsidR="00843976" w:rsidRPr="00843976" w:rsidRDefault="00843976" w:rsidP="00843976">
      <w:pPr>
        <w:jc w:val="center"/>
      </w:pPr>
      <w:r w:rsidRPr="00843976">
        <w:rPr>
          <w:b/>
          <w:bCs/>
        </w:rPr>
        <w:t>Statement on Academic Conduct and Support Systems</w:t>
      </w:r>
    </w:p>
    <w:p w:rsidR="00843976" w:rsidRPr="00843976" w:rsidRDefault="00843976" w:rsidP="00843976">
      <w:pPr>
        <w:ind w:left="720" w:right="720"/>
      </w:pPr>
      <w:r w:rsidRPr="00843976">
        <w:rPr>
          <w:b/>
          <w:bCs/>
          <w:color w:val="000000"/>
        </w:rPr>
        <w:t> </w:t>
      </w:r>
    </w:p>
    <w:p w:rsidR="00843976" w:rsidRPr="00843976" w:rsidRDefault="00843976" w:rsidP="00843976">
      <w:r w:rsidRPr="00843976">
        <w:rPr>
          <w:b/>
          <w:bCs/>
        </w:rPr>
        <w:t>Academic Conduct:</w:t>
      </w:r>
    </w:p>
    <w:p w:rsidR="00843976" w:rsidRPr="00843976" w:rsidRDefault="00843976" w:rsidP="00843976">
      <w:r w:rsidRPr="00843976">
        <w:t>Plagiarism – presenting someone else’s ideas as your own, either verbatim or recast in your own words – is a serious academic offense with serious consequences. Please familiarize yourself with the discussion of plagiarism in </w:t>
      </w:r>
      <w:proofErr w:type="spellStart"/>
      <w:r w:rsidRPr="00843976">
        <w:rPr>
          <w:i/>
          <w:iCs/>
        </w:rPr>
        <w:t>SCampus</w:t>
      </w:r>
      <w:proofErr w:type="spellEnd"/>
      <w:r w:rsidRPr="00843976">
        <w:t xml:space="preserve"> in Part B, Section 11, “Behavior Violating University Standards” </w:t>
      </w:r>
      <w:hyperlink r:id="rId16" w:history="1">
        <w:r w:rsidRPr="00843976">
          <w:rPr>
            <w:rStyle w:val="Hyperlink"/>
          </w:rPr>
          <w:t>https://policy.usc.edu/scampus-part-b/</w:t>
        </w:r>
      </w:hyperlink>
      <w:r w:rsidRPr="00843976">
        <w:t>.  Other forms of academic dishonesty are equally unacceptable.  See additional information in </w:t>
      </w:r>
      <w:proofErr w:type="spellStart"/>
      <w:r w:rsidRPr="00843976">
        <w:rPr>
          <w:i/>
          <w:iCs/>
        </w:rPr>
        <w:t>SCampus</w:t>
      </w:r>
      <w:proofErr w:type="spellEnd"/>
      <w:r w:rsidRPr="00843976">
        <w:rPr>
          <w:i/>
          <w:iCs/>
        </w:rPr>
        <w:t> </w:t>
      </w:r>
      <w:r w:rsidRPr="00843976">
        <w:t>and university policies on scientific misconduct, </w:t>
      </w:r>
      <w:hyperlink r:id="rId17" w:tgtFrame="_blank" w:history="1">
        <w:r w:rsidRPr="00843976">
          <w:rPr>
            <w:rStyle w:val="Hyperlink"/>
          </w:rPr>
          <w:t>http://policy.usc.edu/scientific-misconduct</w:t>
        </w:r>
      </w:hyperlink>
      <w:r w:rsidRPr="00843976">
        <w:t>.</w:t>
      </w:r>
    </w:p>
    <w:p w:rsidR="00843976" w:rsidRPr="00843976" w:rsidRDefault="00843976" w:rsidP="00843976">
      <w:pPr>
        <w:rPr>
          <w:b/>
          <w:bCs/>
        </w:rPr>
      </w:pPr>
      <w:r w:rsidRPr="00843976">
        <w:t> </w:t>
      </w:r>
    </w:p>
    <w:p w:rsidR="00843976" w:rsidRPr="00843976" w:rsidRDefault="00843976" w:rsidP="00843976">
      <w:pPr>
        <w:rPr>
          <w:b/>
          <w:bCs/>
        </w:rPr>
      </w:pPr>
      <w:r w:rsidRPr="00843976">
        <w:rPr>
          <w:b/>
          <w:bCs/>
        </w:rPr>
        <w:t>Support Systems:</w:t>
      </w:r>
    </w:p>
    <w:p w:rsidR="00843976" w:rsidRPr="00843976" w:rsidRDefault="00843976" w:rsidP="00843976">
      <w:pPr>
        <w:rPr>
          <w:bCs/>
        </w:rPr>
      </w:pPr>
      <w:r w:rsidRPr="00843976">
        <w:rPr>
          <w:bCs/>
        </w:rPr>
        <w:t xml:space="preserve">Students whose primary language is not English should check with the American Language Institute http://dornsife.usc.edu/ali, which sponsors courses and workshops specifically for international graduate students.  </w:t>
      </w:r>
    </w:p>
    <w:p w:rsidR="00843976" w:rsidRPr="00843976" w:rsidRDefault="00843976" w:rsidP="00843976">
      <w:pPr>
        <w:rPr>
          <w:b/>
          <w:bCs/>
        </w:rPr>
      </w:pPr>
    </w:p>
    <w:p w:rsidR="00843976" w:rsidRPr="00843976" w:rsidRDefault="00843976" w:rsidP="00843976">
      <w:pPr>
        <w:rPr>
          <w:i/>
        </w:rPr>
      </w:pPr>
      <w:r w:rsidRPr="00843976">
        <w:rPr>
          <w:bCs/>
          <w:i/>
        </w:rPr>
        <w:t>Student Counseling Services (SCS) - (213) 740-7711 – 24/7 on call</w:t>
      </w:r>
    </w:p>
    <w:p w:rsidR="00843976" w:rsidRPr="00843976" w:rsidRDefault="00843976" w:rsidP="00843976">
      <w:r w:rsidRPr="00843976">
        <w:t>Free and confidential mental health treatment for students, including short-term psychotherapy, group counseling, stress fitness workshops, and crisis intervention.</w:t>
      </w:r>
      <w:hyperlink r:id="rId18" w:history="1">
        <w:r w:rsidRPr="00843976">
          <w:rPr>
            <w:rStyle w:val="Hyperlink"/>
          </w:rPr>
          <w:t xml:space="preserve"> https://engemannshc.usc.edu/counseling/</w:t>
        </w:r>
      </w:hyperlink>
    </w:p>
    <w:p w:rsidR="00843976" w:rsidRPr="00843976" w:rsidRDefault="00843976" w:rsidP="00843976">
      <w:pPr>
        <w:rPr>
          <w:b/>
          <w:bCs/>
        </w:rPr>
      </w:pPr>
    </w:p>
    <w:p w:rsidR="00843976" w:rsidRPr="00843976" w:rsidRDefault="00843976" w:rsidP="00843976">
      <w:pPr>
        <w:rPr>
          <w:i/>
        </w:rPr>
      </w:pPr>
      <w:r w:rsidRPr="00843976">
        <w:rPr>
          <w:bCs/>
          <w:i/>
        </w:rPr>
        <w:t>National Suicide Prevention Lifeline - 1-800-273-8255</w:t>
      </w:r>
    </w:p>
    <w:p w:rsidR="00843976" w:rsidRPr="00843976" w:rsidRDefault="00843976" w:rsidP="00843976">
      <w:r w:rsidRPr="00843976">
        <w:t>Provides free and confidential emotional support to people in suicidal crisis or emotional distress 24 hours a day, 7 days a week.</w:t>
      </w:r>
      <w:hyperlink r:id="rId19" w:history="1">
        <w:r w:rsidRPr="00843976">
          <w:rPr>
            <w:rStyle w:val="Hyperlink"/>
          </w:rPr>
          <w:t xml:space="preserve"> http://www.suicidepreventionlifeline.org</w:t>
        </w:r>
      </w:hyperlink>
    </w:p>
    <w:p w:rsidR="00843976" w:rsidRPr="00843976" w:rsidRDefault="00843976" w:rsidP="00843976">
      <w:pPr>
        <w:rPr>
          <w:b/>
          <w:bCs/>
          <w:u w:val="single"/>
        </w:rPr>
      </w:pPr>
    </w:p>
    <w:p w:rsidR="00843976" w:rsidRPr="00843976" w:rsidRDefault="00843976" w:rsidP="00843976">
      <w:pPr>
        <w:rPr>
          <w:i/>
        </w:rPr>
      </w:pPr>
      <w:r w:rsidRPr="00843976">
        <w:rPr>
          <w:bCs/>
          <w:i/>
        </w:rPr>
        <w:t>Relationship &amp; Sexual Violence Prevention Services (RSVP) - (213) 740-4900 - 24/7 on call</w:t>
      </w:r>
    </w:p>
    <w:p w:rsidR="00843976" w:rsidRPr="00843976" w:rsidRDefault="00843976" w:rsidP="00843976">
      <w:r w:rsidRPr="00843976">
        <w:t xml:space="preserve">Free and confidential therapy services, workshops, and training for situations related to gender-based harm. </w:t>
      </w:r>
      <w:hyperlink r:id="rId20" w:history="1">
        <w:r w:rsidRPr="00843976">
          <w:rPr>
            <w:rStyle w:val="Hyperlink"/>
          </w:rPr>
          <w:t>https://engemannshc.usc.edu/rsvp/</w:t>
        </w:r>
      </w:hyperlink>
    </w:p>
    <w:p w:rsidR="00843976" w:rsidRPr="00843976" w:rsidRDefault="00843976" w:rsidP="00843976">
      <w:pPr>
        <w:rPr>
          <w:b/>
          <w:bCs/>
        </w:rPr>
      </w:pPr>
    </w:p>
    <w:p w:rsidR="00843976" w:rsidRPr="00843976" w:rsidRDefault="00843976" w:rsidP="00843976">
      <w:pPr>
        <w:rPr>
          <w:i/>
        </w:rPr>
      </w:pPr>
      <w:r w:rsidRPr="00843976">
        <w:rPr>
          <w:bCs/>
          <w:i/>
        </w:rPr>
        <w:t>Sexual Assault Resource Center</w:t>
      </w:r>
    </w:p>
    <w:p w:rsidR="00843976" w:rsidRPr="00843976" w:rsidRDefault="00843976" w:rsidP="00843976">
      <w:r w:rsidRPr="00843976">
        <w:t>For more information about how to get help or help a survivor, rights, reporting options, and additional resources, visit the website:</w:t>
      </w:r>
      <w:hyperlink r:id="rId21" w:history="1">
        <w:r w:rsidRPr="00843976">
          <w:rPr>
            <w:rStyle w:val="Hyperlink"/>
          </w:rPr>
          <w:t xml:space="preserve"> http://sarc.usc.edu/</w:t>
        </w:r>
      </w:hyperlink>
    </w:p>
    <w:p w:rsidR="00843976" w:rsidRPr="00843976" w:rsidRDefault="00843976" w:rsidP="00843976">
      <w:pPr>
        <w:rPr>
          <w:b/>
          <w:bCs/>
        </w:rPr>
      </w:pPr>
    </w:p>
    <w:p w:rsidR="00843976" w:rsidRPr="00843976" w:rsidRDefault="00843976" w:rsidP="00843976">
      <w:pPr>
        <w:rPr>
          <w:i/>
        </w:rPr>
      </w:pPr>
      <w:r w:rsidRPr="00843976">
        <w:rPr>
          <w:bCs/>
          <w:i/>
        </w:rPr>
        <w:t>Office of Equity and Diversity (OED)/Title IX compliance – (213) 740-5086</w:t>
      </w:r>
    </w:p>
    <w:p w:rsidR="00843976" w:rsidRPr="00843976" w:rsidRDefault="00843976" w:rsidP="00843976">
      <w:r w:rsidRPr="00843976">
        <w:lastRenderedPageBreak/>
        <w:t>Works with faculty, staff, visitors, applicants, and students around issues of protected class.</w:t>
      </w:r>
      <w:hyperlink r:id="rId22" w:history="1">
        <w:r w:rsidRPr="00843976">
          <w:rPr>
            <w:rStyle w:val="Hyperlink"/>
          </w:rPr>
          <w:t xml:space="preserve"> https://equity.usc.edu/</w:t>
        </w:r>
      </w:hyperlink>
    </w:p>
    <w:p w:rsidR="00843976" w:rsidRPr="00843976" w:rsidRDefault="00843976" w:rsidP="00843976">
      <w:pPr>
        <w:rPr>
          <w:b/>
          <w:bCs/>
        </w:rPr>
      </w:pPr>
    </w:p>
    <w:p w:rsidR="00843976" w:rsidRPr="00843976" w:rsidRDefault="00843976" w:rsidP="00843976">
      <w:pPr>
        <w:rPr>
          <w:i/>
        </w:rPr>
      </w:pPr>
      <w:r w:rsidRPr="00843976">
        <w:rPr>
          <w:bCs/>
          <w:i/>
        </w:rPr>
        <w:t>Bias Assessment Response and Support</w:t>
      </w:r>
    </w:p>
    <w:p w:rsidR="00843976" w:rsidRPr="00843976" w:rsidRDefault="00843976" w:rsidP="00843976">
      <w:r w:rsidRPr="00843976">
        <w:t xml:space="preserve">Incidents of bias, hate crimes and </w:t>
      </w:r>
      <w:proofErr w:type="spellStart"/>
      <w:r w:rsidRPr="00843976">
        <w:t>microaggressions</w:t>
      </w:r>
      <w:proofErr w:type="spellEnd"/>
      <w:r w:rsidRPr="00843976">
        <w:t xml:space="preserve"> need to be reported allowing for appropriate investigation and response.</w:t>
      </w:r>
      <w:hyperlink r:id="rId23" w:history="1">
        <w:r w:rsidRPr="00843976">
          <w:rPr>
            <w:rStyle w:val="Hyperlink"/>
          </w:rPr>
          <w:t xml:space="preserve"> https://studentaffairs.usc.edu/bias-assessment-response-support/</w:t>
        </w:r>
      </w:hyperlink>
    </w:p>
    <w:p w:rsidR="00843976" w:rsidRPr="00843976" w:rsidRDefault="00843976" w:rsidP="00843976">
      <w:pPr>
        <w:rPr>
          <w:b/>
          <w:bCs/>
        </w:rPr>
      </w:pPr>
    </w:p>
    <w:p w:rsidR="00843976" w:rsidRPr="00843976" w:rsidRDefault="00843976" w:rsidP="00843976">
      <w:pPr>
        <w:rPr>
          <w:i/>
        </w:rPr>
      </w:pPr>
      <w:r w:rsidRPr="00843976">
        <w:rPr>
          <w:bCs/>
          <w:i/>
        </w:rPr>
        <w:t>Student Support &amp; Advocacy – (213) 821-4710</w:t>
      </w:r>
    </w:p>
    <w:p w:rsidR="00843976" w:rsidRPr="00843976" w:rsidRDefault="00843976" w:rsidP="00843976">
      <w:pPr>
        <w:rPr>
          <w:u w:val="single"/>
        </w:rPr>
      </w:pPr>
      <w:r w:rsidRPr="00843976">
        <w:t>Assists students and families in resolving complex issues adversely affecting their success as a student EX: personal, financial, and academic.</w:t>
      </w:r>
      <w:hyperlink r:id="rId24" w:history="1">
        <w:r w:rsidRPr="00843976">
          <w:rPr>
            <w:rStyle w:val="Hyperlink"/>
          </w:rPr>
          <w:t xml:space="preserve"> https://studentaffairs.usc.edu/ssa/</w:t>
        </w:r>
      </w:hyperlink>
    </w:p>
    <w:p w:rsidR="00843976" w:rsidRPr="00843976" w:rsidRDefault="00843976" w:rsidP="00843976"/>
    <w:p w:rsidR="00843976" w:rsidRPr="00843976" w:rsidRDefault="00843976" w:rsidP="00843976">
      <w:pPr>
        <w:rPr>
          <w:i/>
        </w:rPr>
      </w:pPr>
      <w:r w:rsidRPr="00843976">
        <w:rPr>
          <w:i/>
        </w:rPr>
        <w:t>Diversity at USC</w:t>
      </w:r>
    </w:p>
    <w:p w:rsidR="00843976" w:rsidRPr="00843976" w:rsidRDefault="00843976" w:rsidP="00843976">
      <w:pPr>
        <w:rPr>
          <w:i/>
        </w:rPr>
      </w:pPr>
      <w:r w:rsidRPr="00843976">
        <w:t xml:space="preserve">Tabs for Events, Programs and Training, Task Force (including representatives for each school), Chronology, Participate, Resources for Students. </w:t>
      </w:r>
      <w:hyperlink r:id="rId25" w:history="1">
        <w:r w:rsidRPr="00843976">
          <w:rPr>
            <w:rStyle w:val="Hyperlink"/>
            <w:i/>
          </w:rPr>
          <w:t>https://diversity.usc.edu/</w:t>
        </w:r>
      </w:hyperlink>
      <w:r w:rsidRPr="00843976">
        <w:rPr>
          <w:i/>
        </w:rPr>
        <w:t xml:space="preserve"> </w:t>
      </w:r>
    </w:p>
    <w:p w:rsidR="00843976" w:rsidRPr="00843976" w:rsidRDefault="00843976" w:rsidP="00843976">
      <w:pPr>
        <w:rPr>
          <w:i/>
        </w:rPr>
      </w:pPr>
    </w:p>
    <w:p w:rsidR="00843976" w:rsidRPr="00843976" w:rsidRDefault="00843976" w:rsidP="00843976">
      <w:pPr>
        <w:ind w:right="-576"/>
        <w:rPr>
          <w:rFonts w:eastAsiaTheme="minorHAnsi"/>
        </w:rPr>
      </w:pPr>
      <w:r w:rsidRPr="00843976">
        <w:rPr>
          <w:rFonts w:eastAsiaTheme="minorHAnsi"/>
          <w:i/>
          <w:iCs/>
        </w:rPr>
        <w:t>USC Emergency Information</w:t>
      </w:r>
    </w:p>
    <w:p w:rsidR="00843976" w:rsidRPr="00843976" w:rsidRDefault="00843976" w:rsidP="00843976">
      <w:pPr>
        <w:ind w:right="-576"/>
        <w:rPr>
          <w:rFonts w:eastAsiaTheme="minorHAnsi"/>
        </w:rPr>
      </w:pPr>
      <w:r w:rsidRPr="00843976">
        <w:rPr>
          <w:rFonts w:eastAsiaTheme="minorHAnsi"/>
        </w:rPr>
        <w:t xml:space="preserve">Provides safety and other updates, including ways in which instruction will be continued if an officially declared emergency makes travel to campus infeasible. </w:t>
      </w:r>
      <w:hyperlink r:id="rId26" w:history="1">
        <w:r w:rsidRPr="00843976">
          <w:rPr>
            <w:rStyle w:val="Hyperlink"/>
            <w:rFonts w:eastAsiaTheme="minorHAnsi"/>
          </w:rPr>
          <w:t>emergency.usc.edu</w:t>
        </w:r>
      </w:hyperlink>
    </w:p>
    <w:p w:rsidR="00843976" w:rsidRPr="00843976" w:rsidRDefault="00843976" w:rsidP="00843976">
      <w:pPr>
        <w:ind w:right="-576"/>
        <w:rPr>
          <w:rFonts w:eastAsiaTheme="minorHAnsi"/>
        </w:rPr>
      </w:pPr>
    </w:p>
    <w:p w:rsidR="00843976" w:rsidRPr="00843976" w:rsidRDefault="00843976" w:rsidP="00843976">
      <w:pPr>
        <w:ind w:right="-576"/>
        <w:rPr>
          <w:rFonts w:eastAsiaTheme="minorHAnsi"/>
        </w:rPr>
      </w:pPr>
      <w:r w:rsidRPr="00843976">
        <w:rPr>
          <w:rFonts w:eastAsiaTheme="minorHAnsi"/>
          <w:i/>
          <w:iCs/>
        </w:rPr>
        <w:t xml:space="preserve">USC Department of Public Safety </w:t>
      </w:r>
      <w:r w:rsidRPr="00843976">
        <w:rPr>
          <w:rFonts w:eastAsiaTheme="minorHAnsi"/>
          <w:i/>
          <w:color w:val="222222"/>
        </w:rPr>
        <w:t>–</w:t>
      </w:r>
      <w:r w:rsidRPr="00843976">
        <w:rPr>
          <w:rFonts w:eastAsiaTheme="minorHAnsi"/>
          <w:i/>
        </w:rPr>
        <w:t xml:space="preserve"> UPC: (213) 740-4321 – HSC: (323) 442-1000 – 24-hour emergency or to report a crime. </w:t>
      </w:r>
      <w:r w:rsidRPr="00843976">
        <w:rPr>
          <w:rFonts w:eastAsiaTheme="minorHAnsi"/>
        </w:rPr>
        <w:t xml:space="preserve">Provides overall safety to USC community. </w:t>
      </w:r>
      <w:hyperlink r:id="rId27" w:history="1">
        <w:r w:rsidRPr="00843976">
          <w:rPr>
            <w:rStyle w:val="Hyperlink"/>
            <w:rFonts w:eastAsiaTheme="minorHAnsi"/>
          </w:rPr>
          <w:t>dps.usc.edu</w:t>
        </w:r>
      </w:hyperlink>
    </w:p>
    <w:p w:rsidR="00843976" w:rsidRPr="00843976" w:rsidRDefault="00843976" w:rsidP="00843976">
      <w:pPr>
        <w:rPr>
          <w:rFonts w:eastAsia="MS Mincho"/>
          <w:b/>
          <w:bCs/>
        </w:rPr>
      </w:pPr>
    </w:p>
    <w:p w:rsidR="00843976" w:rsidRPr="00843976" w:rsidRDefault="00843976" w:rsidP="00843976">
      <w:pPr>
        <w:rPr>
          <w:b/>
          <w:bCs/>
        </w:rPr>
      </w:pPr>
      <w:r w:rsidRPr="00843976">
        <w:rPr>
          <w:b/>
          <w:bCs/>
        </w:rPr>
        <w:t>Students with Disabilities:</w:t>
      </w:r>
    </w:p>
    <w:p w:rsidR="00843976" w:rsidRPr="00843976" w:rsidRDefault="00843976" w:rsidP="00843976">
      <w:pPr>
        <w:rPr>
          <w:bCs/>
        </w:rPr>
      </w:pPr>
      <w:r w:rsidRPr="00843976">
        <w:rPr>
          <w:bCs/>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843976">
        <w:rPr>
          <w:bCs/>
          <w:iCs/>
        </w:rPr>
        <w:t>he Office of Disability Services and Programs (</w:t>
      </w:r>
      <w:hyperlink r:id="rId28" w:history="1">
        <w:r w:rsidRPr="00843976">
          <w:rPr>
            <w:rStyle w:val="Hyperlink"/>
            <w:bCs/>
          </w:rPr>
          <w:t>www.usc.edu/disability</w:t>
        </w:r>
      </w:hyperlink>
      <w:r w:rsidRPr="00843976">
        <w:rPr>
          <w:bCs/>
          <w:iCs/>
        </w:rPr>
        <w:t xml:space="preserve">). DSP </w:t>
      </w:r>
      <w:r w:rsidRPr="00843976">
        <w:rPr>
          <w:bCs/>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sidRPr="00843976">
        <w:rPr>
          <w:bCs/>
        </w:rPr>
        <w:t>Salvatori</w:t>
      </w:r>
      <w:proofErr w:type="spellEnd"/>
      <w:r w:rsidRPr="00843976">
        <w:rPr>
          <w:bCs/>
        </w:rPr>
        <w:t xml:space="preserve"> Hall) 120 and is open 8:30 a.m.–5:00 p.m., Monday through Friday. The phone number for DSP is (213) 740-0776.  Email: ability@usc.edu.</w:t>
      </w:r>
    </w:p>
    <w:p w:rsidR="00843976" w:rsidRDefault="00843976" w:rsidP="00936F8E">
      <w:pPr>
        <w:tabs>
          <w:tab w:val="left" w:pos="-720"/>
        </w:tabs>
      </w:pPr>
    </w:p>
    <w:p w:rsidR="00B278C2" w:rsidRDefault="00B278C2" w:rsidP="00936F8E">
      <w:pPr>
        <w:pStyle w:val="sidehead"/>
        <w:jc w:val="left"/>
        <w:rPr>
          <w:rFonts w:ascii="Times New Roman" w:hAnsi="Times New Roman"/>
          <w:szCs w:val="24"/>
          <w:u w:val="single"/>
        </w:rPr>
      </w:pPr>
    </w:p>
    <w:p w:rsidR="00E7429A" w:rsidRPr="00E26D4D" w:rsidRDefault="00E7429A" w:rsidP="00E7429A">
      <w:pPr>
        <w:pStyle w:val="sidehead"/>
        <w:jc w:val="left"/>
        <w:rPr>
          <w:rFonts w:ascii="Times New Roman" w:hAnsi="Times New Roman"/>
          <w:szCs w:val="24"/>
          <w:u w:val="single"/>
        </w:rPr>
      </w:pPr>
      <w:r>
        <w:rPr>
          <w:rFonts w:ascii="Times New Roman" w:hAnsi="Times New Roman"/>
          <w:szCs w:val="24"/>
          <w:u w:val="single"/>
        </w:rPr>
        <w:t>Key Dates—Fall</w:t>
      </w:r>
      <w:r w:rsidRPr="00E26D4D">
        <w:rPr>
          <w:rFonts w:ascii="Times New Roman" w:hAnsi="Times New Roman"/>
          <w:szCs w:val="24"/>
          <w:u w:val="single"/>
        </w:rPr>
        <w:t xml:space="preserve"> 2019</w:t>
      </w:r>
    </w:p>
    <w:p w:rsidR="00E7429A" w:rsidRPr="00E26D4D" w:rsidRDefault="00E7429A" w:rsidP="00E7429A">
      <w:pPr>
        <w:pStyle w:val="sidehead"/>
        <w:jc w:val="left"/>
        <w:rPr>
          <w:rFonts w:ascii="Times New Roman" w:hAnsi="Times New Roman"/>
          <w:b w:val="0"/>
          <w:szCs w:val="24"/>
        </w:rPr>
      </w:pP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August 26</w:t>
      </w:r>
      <w:r w:rsidRPr="00E26D4D">
        <w:rPr>
          <w:rFonts w:ascii="Times New Roman" w:hAnsi="Times New Roman"/>
          <w:szCs w:val="24"/>
        </w:rPr>
        <w:tab/>
      </w:r>
      <w:r>
        <w:rPr>
          <w:rFonts w:ascii="Times New Roman" w:hAnsi="Times New Roman"/>
          <w:szCs w:val="24"/>
        </w:rPr>
        <w:t>Fall</w:t>
      </w:r>
      <w:r w:rsidRPr="00E26D4D">
        <w:rPr>
          <w:rFonts w:ascii="Times New Roman" w:hAnsi="Times New Roman"/>
          <w:szCs w:val="24"/>
        </w:rPr>
        <w:t xml:space="preserve"> Semester classes begin</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September 2</w:t>
      </w:r>
      <w:r>
        <w:rPr>
          <w:rFonts w:ascii="Times New Roman" w:hAnsi="Times New Roman"/>
          <w:szCs w:val="24"/>
        </w:rPr>
        <w:tab/>
        <w:t>Labor Da</w:t>
      </w:r>
      <w:r w:rsidRPr="00E26D4D">
        <w:rPr>
          <w:rFonts w:ascii="Times New Roman" w:hAnsi="Times New Roman"/>
          <w:szCs w:val="24"/>
        </w:rPr>
        <w:t>y, university holiday</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September 13</w:t>
      </w:r>
      <w:r w:rsidRPr="00E26D4D">
        <w:rPr>
          <w:rFonts w:ascii="Times New Roman" w:hAnsi="Times New Roman"/>
          <w:szCs w:val="24"/>
        </w:rPr>
        <w:tab/>
        <w:t>Last day to register and add classes</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September 13</w:t>
      </w:r>
      <w:r>
        <w:rPr>
          <w:rFonts w:ascii="Times New Roman" w:hAnsi="Times New Roman"/>
          <w:szCs w:val="24"/>
        </w:rPr>
        <w:tab/>
      </w:r>
      <w:r w:rsidRPr="00E26D4D">
        <w:rPr>
          <w:rFonts w:ascii="Times New Roman" w:hAnsi="Times New Roman"/>
          <w:szCs w:val="24"/>
        </w:rPr>
        <w:t xml:space="preserve">Last day to drop a class </w:t>
      </w:r>
      <w:r w:rsidRPr="00E26D4D">
        <w:rPr>
          <w:rFonts w:ascii="Times New Roman" w:hAnsi="Times New Roman"/>
          <w:szCs w:val="24"/>
          <w:u w:val="single"/>
        </w:rPr>
        <w:t>without</w:t>
      </w:r>
      <w:r w:rsidRPr="00E26D4D">
        <w:rPr>
          <w:rFonts w:ascii="Times New Roman" w:hAnsi="Times New Roman"/>
          <w:szCs w:val="24"/>
        </w:rPr>
        <w:t xml:space="preserve"> a mark of “W”</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October 17-18</w:t>
      </w:r>
      <w:r>
        <w:rPr>
          <w:rFonts w:ascii="Times New Roman" w:hAnsi="Times New Roman"/>
          <w:szCs w:val="24"/>
        </w:rPr>
        <w:tab/>
        <w:t xml:space="preserve">Fall </w:t>
      </w:r>
      <w:r w:rsidRPr="00E26D4D">
        <w:rPr>
          <w:rFonts w:ascii="Times New Roman" w:hAnsi="Times New Roman"/>
          <w:szCs w:val="24"/>
        </w:rPr>
        <w:t>Recess</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November 15</w:t>
      </w:r>
      <w:r w:rsidRPr="00E26D4D">
        <w:rPr>
          <w:rFonts w:ascii="Times New Roman" w:hAnsi="Times New Roman"/>
          <w:szCs w:val="24"/>
        </w:rPr>
        <w:tab/>
        <w:t xml:space="preserve">Last day to drop a class </w:t>
      </w:r>
      <w:r w:rsidRPr="00E26D4D">
        <w:rPr>
          <w:rFonts w:ascii="Times New Roman" w:hAnsi="Times New Roman"/>
          <w:szCs w:val="24"/>
          <w:u w:val="single"/>
        </w:rPr>
        <w:t>with</w:t>
      </w:r>
      <w:r w:rsidRPr="00E26D4D">
        <w:rPr>
          <w:rFonts w:ascii="Times New Roman" w:hAnsi="Times New Roman"/>
          <w:szCs w:val="24"/>
        </w:rPr>
        <w:t xml:space="preserve"> a mark of “W”</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 xml:space="preserve">December </w:t>
      </w:r>
      <w:r w:rsidRPr="00E26D4D">
        <w:rPr>
          <w:rFonts w:ascii="Times New Roman" w:hAnsi="Times New Roman"/>
          <w:szCs w:val="24"/>
        </w:rPr>
        <w:t>6</w:t>
      </w:r>
      <w:r w:rsidRPr="00E26D4D">
        <w:rPr>
          <w:rFonts w:ascii="Times New Roman" w:hAnsi="Times New Roman"/>
          <w:szCs w:val="24"/>
        </w:rPr>
        <w:tab/>
        <w:t>Classes end</w:t>
      </w:r>
    </w:p>
    <w:p w:rsidR="00E7429A" w:rsidRPr="00E26D4D" w:rsidRDefault="00E7429A" w:rsidP="00E7429A">
      <w:pPr>
        <w:pStyle w:val="sidehead"/>
        <w:tabs>
          <w:tab w:val="clear" w:pos="1440"/>
          <w:tab w:val="left" w:pos="1800"/>
        </w:tabs>
        <w:jc w:val="left"/>
        <w:rPr>
          <w:rFonts w:ascii="Times New Roman" w:hAnsi="Times New Roman"/>
          <w:szCs w:val="24"/>
        </w:rPr>
      </w:pPr>
      <w:r>
        <w:rPr>
          <w:rFonts w:ascii="Times New Roman" w:hAnsi="Times New Roman"/>
          <w:szCs w:val="24"/>
        </w:rPr>
        <w:t>December 11-18</w:t>
      </w:r>
      <w:r w:rsidRPr="00E26D4D">
        <w:rPr>
          <w:rFonts w:ascii="Times New Roman" w:hAnsi="Times New Roman"/>
          <w:szCs w:val="24"/>
        </w:rPr>
        <w:tab/>
        <w:t>Final Exams</w:t>
      </w:r>
    </w:p>
    <w:p w:rsidR="00936F8E" w:rsidRPr="005F7F6A" w:rsidRDefault="00936F8E" w:rsidP="00936F8E">
      <w:pPr>
        <w:rPr>
          <w:b/>
        </w:rPr>
      </w:pPr>
    </w:p>
    <w:p w:rsidR="00936F8E" w:rsidRPr="005F7F6A" w:rsidRDefault="00936F8E" w:rsidP="00936F8E">
      <w:pPr>
        <w:rPr>
          <w:b/>
          <w:u w:val="single"/>
        </w:rPr>
      </w:pPr>
      <w:r w:rsidRPr="005F7F6A">
        <w:rPr>
          <w:b/>
          <w:u w:val="single"/>
        </w:rPr>
        <w:lastRenderedPageBreak/>
        <w:t>Course Readings and Class Schedule</w:t>
      </w:r>
    </w:p>
    <w:p w:rsidR="00936F8E" w:rsidRPr="005F7F6A" w:rsidRDefault="00936F8E" w:rsidP="00936F8E">
      <w:pPr>
        <w:tabs>
          <w:tab w:val="left" w:pos="720"/>
          <w:tab w:val="left" w:pos="1440"/>
          <w:tab w:val="left" w:pos="7200"/>
        </w:tabs>
      </w:pPr>
      <w:r w:rsidRPr="005F7F6A">
        <w:t xml:space="preserve">Listed </w:t>
      </w:r>
      <w:r w:rsidR="002A6FFB">
        <w:t xml:space="preserve">below </w:t>
      </w:r>
      <w:r w:rsidRPr="005F7F6A">
        <w:t>is a schedule of assignments and topics for this course.  Changes may be made as the course progresses depending upon enrollment, ELC schedules, and class needs</w:t>
      </w:r>
      <w:r w:rsidR="002A6FFB">
        <w:t>.</w:t>
      </w:r>
    </w:p>
    <w:p w:rsidR="00F6721E" w:rsidRPr="005F7F6A" w:rsidRDefault="00F6721E" w:rsidP="008E5DD4"/>
    <w:p w:rsidR="00C76BE6" w:rsidRPr="005F7F6A" w:rsidRDefault="007431FA" w:rsidP="00047AFE">
      <w:pPr>
        <w:jc w:val="both"/>
      </w:pPr>
      <w:r w:rsidRPr="005F7F6A">
        <w:rPr>
          <w:b/>
          <w:u w:val="single"/>
        </w:rPr>
        <w:t>Course Format:</w:t>
      </w:r>
    </w:p>
    <w:p w:rsidR="00C76BE6" w:rsidRDefault="007431FA" w:rsidP="005C09A0">
      <w:pPr>
        <w:jc w:val="both"/>
        <w:rPr>
          <w:sz w:val="22"/>
          <w:szCs w:val="22"/>
        </w:rPr>
      </w:pPr>
      <w:r w:rsidRPr="005F7F6A">
        <w:t>We will use a variety of learning activities, including lecture, discussion, case analyses, team activities, self-assessment, guest speakers, and experiential exercises to enhance the learning experience.  Some interviewing and other field research activities will be assigned to gain greater knowledge about different approaches to the management of people and performance and the various professional activities performed by the human resource management function.</w:t>
      </w:r>
      <w:r w:rsidR="00C76BE6">
        <w:rPr>
          <w:sz w:val="22"/>
          <w:szCs w:val="22"/>
        </w:rPr>
        <w:br w:type="page"/>
      </w:r>
    </w:p>
    <w:p w:rsidR="005F147A" w:rsidRPr="005F7F6A" w:rsidRDefault="005F147A">
      <w:pPr>
        <w:rPr>
          <w:b/>
          <w:u w:val="single"/>
        </w:rPr>
      </w:pPr>
      <w:r w:rsidRPr="005F7F6A">
        <w:rPr>
          <w:b/>
          <w:u w:val="single"/>
        </w:rPr>
        <w:lastRenderedPageBreak/>
        <w:t xml:space="preserve">MOR 471 – Managing and Developing People </w:t>
      </w:r>
      <w:r w:rsidR="003859D9">
        <w:rPr>
          <w:b/>
          <w:u w:val="single"/>
        </w:rPr>
        <w:t xml:space="preserve">- </w:t>
      </w:r>
      <w:r w:rsidRPr="005F7F6A">
        <w:rPr>
          <w:b/>
          <w:u w:val="single"/>
        </w:rPr>
        <w:t>Class Schedule</w:t>
      </w:r>
    </w:p>
    <w:p w:rsidR="00CE57E4" w:rsidRDefault="005F147A">
      <w:pPr>
        <w:rPr>
          <w:sz w:val="22"/>
          <w:szCs w:val="22"/>
        </w:rPr>
      </w:pPr>
      <w:r w:rsidRPr="005F7F6A">
        <w:t>This schedule may change as we asses</w:t>
      </w:r>
      <w:r w:rsidR="007852D7">
        <w:t>s</w:t>
      </w:r>
      <w:r w:rsidRPr="005F7F6A">
        <w:t xml:space="preserve"> our progress throughout the semester, and additional assignments may be made.  </w:t>
      </w:r>
      <w:r w:rsidR="00CE57E4">
        <w:t>Schedule changes may also be made for g</w:t>
      </w:r>
      <w:r w:rsidRPr="005F7F6A">
        <w:t>uest speakers</w:t>
      </w:r>
      <w:r w:rsidR="00776747">
        <w:t xml:space="preserve"> representing different functional areas</w:t>
      </w:r>
      <w:r w:rsidR="00CE57E4">
        <w:t xml:space="preserve"> of human resource management.</w:t>
      </w:r>
    </w:p>
    <w:tbl>
      <w:tblPr>
        <w:tblStyle w:val="TableGrid"/>
        <w:tblW w:w="9420" w:type="dxa"/>
        <w:tblLayout w:type="fixed"/>
        <w:tblLook w:val="04A0" w:firstRow="1" w:lastRow="0" w:firstColumn="1" w:lastColumn="0" w:noHBand="0" w:noVBand="1"/>
      </w:tblPr>
      <w:tblGrid>
        <w:gridCol w:w="918"/>
        <w:gridCol w:w="900"/>
        <w:gridCol w:w="3580"/>
        <w:gridCol w:w="4022"/>
      </w:tblGrid>
      <w:tr w:rsidR="00D43006" w:rsidTr="0040649F">
        <w:tc>
          <w:tcPr>
            <w:tcW w:w="918" w:type="dxa"/>
          </w:tcPr>
          <w:p w:rsidR="00D43006" w:rsidRPr="0040649F" w:rsidRDefault="00D43006" w:rsidP="00047AFE">
            <w:pPr>
              <w:jc w:val="both"/>
              <w:rPr>
                <w:b/>
                <w:sz w:val="20"/>
                <w:szCs w:val="20"/>
              </w:rPr>
            </w:pPr>
            <w:r w:rsidRPr="0040649F">
              <w:rPr>
                <w:b/>
                <w:sz w:val="20"/>
                <w:szCs w:val="20"/>
              </w:rPr>
              <w:t>WEEK</w:t>
            </w:r>
          </w:p>
        </w:tc>
        <w:tc>
          <w:tcPr>
            <w:tcW w:w="900" w:type="dxa"/>
          </w:tcPr>
          <w:p w:rsidR="00D43006" w:rsidRPr="0040649F" w:rsidRDefault="00D43006" w:rsidP="00047AFE">
            <w:pPr>
              <w:jc w:val="both"/>
              <w:rPr>
                <w:b/>
                <w:sz w:val="20"/>
                <w:szCs w:val="20"/>
              </w:rPr>
            </w:pPr>
            <w:r w:rsidRPr="0040649F">
              <w:rPr>
                <w:b/>
                <w:sz w:val="20"/>
                <w:szCs w:val="20"/>
              </w:rPr>
              <w:t>DATE</w:t>
            </w:r>
          </w:p>
        </w:tc>
        <w:tc>
          <w:tcPr>
            <w:tcW w:w="3580" w:type="dxa"/>
          </w:tcPr>
          <w:p w:rsidR="00D43006" w:rsidRPr="0040649F" w:rsidRDefault="00482438" w:rsidP="00047AFE">
            <w:pPr>
              <w:jc w:val="both"/>
              <w:rPr>
                <w:b/>
                <w:sz w:val="20"/>
                <w:szCs w:val="20"/>
              </w:rPr>
            </w:pPr>
            <w:r>
              <w:rPr>
                <w:b/>
                <w:sz w:val="20"/>
                <w:szCs w:val="20"/>
              </w:rPr>
              <w:t>READINGS</w:t>
            </w:r>
          </w:p>
        </w:tc>
        <w:tc>
          <w:tcPr>
            <w:tcW w:w="4022" w:type="dxa"/>
          </w:tcPr>
          <w:p w:rsidR="00D43006" w:rsidRPr="0040649F" w:rsidRDefault="00D43006" w:rsidP="00047AFE">
            <w:pPr>
              <w:jc w:val="both"/>
              <w:rPr>
                <w:b/>
                <w:sz w:val="20"/>
                <w:szCs w:val="20"/>
              </w:rPr>
            </w:pPr>
            <w:r w:rsidRPr="0040649F">
              <w:rPr>
                <w:b/>
                <w:sz w:val="20"/>
                <w:szCs w:val="20"/>
              </w:rPr>
              <w:t>ASSIGNMENTS</w:t>
            </w:r>
          </w:p>
        </w:tc>
      </w:tr>
      <w:tr w:rsidR="00D43006" w:rsidTr="0040649F">
        <w:tc>
          <w:tcPr>
            <w:tcW w:w="918" w:type="dxa"/>
          </w:tcPr>
          <w:p w:rsidR="00D43006" w:rsidRDefault="00D43006" w:rsidP="00047AFE">
            <w:pPr>
              <w:jc w:val="both"/>
              <w:rPr>
                <w:sz w:val="22"/>
                <w:szCs w:val="22"/>
              </w:rPr>
            </w:pPr>
            <w:r>
              <w:rPr>
                <w:sz w:val="22"/>
                <w:szCs w:val="22"/>
              </w:rPr>
              <w:t>1</w:t>
            </w:r>
          </w:p>
        </w:tc>
        <w:tc>
          <w:tcPr>
            <w:tcW w:w="900" w:type="dxa"/>
          </w:tcPr>
          <w:p w:rsidR="00D43006" w:rsidRDefault="00D43006" w:rsidP="003859D9">
            <w:pPr>
              <w:jc w:val="both"/>
              <w:rPr>
                <w:sz w:val="22"/>
                <w:szCs w:val="22"/>
              </w:rPr>
            </w:pPr>
            <w:r>
              <w:rPr>
                <w:sz w:val="22"/>
                <w:szCs w:val="22"/>
              </w:rPr>
              <w:t>8-2</w:t>
            </w:r>
            <w:r w:rsidR="000D11F5">
              <w:rPr>
                <w:sz w:val="22"/>
                <w:szCs w:val="22"/>
              </w:rPr>
              <w:t>6</w:t>
            </w:r>
          </w:p>
        </w:tc>
        <w:tc>
          <w:tcPr>
            <w:tcW w:w="3580" w:type="dxa"/>
          </w:tcPr>
          <w:p w:rsidR="00D43006" w:rsidRDefault="007B1A02" w:rsidP="007B1A02">
            <w:pPr>
              <w:rPr>
                <w:sz w:val="22"/>
                <w:szCs w:val="22"/>
              </w:rPr>
            </w:pPr>
            <w:r>
              <w:rPr>
                <w:sz w:val="22"/>
                <w:szCs w:val="22"/>
              </w:rPr>
              <w:t>1-Managing Employees for Competitive Advantage</w:t>
            </w:r>
          </w:p>
        </w:tc>
        <w:tc>
          <w:tcPr>
            <w:tcW w:w="4022" w:type="dxa"/>
          </w:tcPr>
          <w:p w:rsidR="00D43006" w:rsidRDefault="007B1A02" w:rsidP="00CA5AE3">
            <w:pPr>
              <w:rPr>
                <w:sz w:val="22"/>
                <w:szCs w:val="22"/>
              </w:rPr>
            </w:pPr>
            <w:r>
              <w:rPr>
                <w:sz w:val="22"/>
                <w:szCs w:val="22"/>
              </w:rPr>
              <w:t>Case</w:t>
            </w:r>
            <w:r w:rsidR="00CA5AE3">
              <w:rPr>
                <w:sz w:val="22"/>
                <w:szCs w:val="22"/>
              </w:rPr>
              <w:t xml:space="preserve"> </w:t>
            </w:r>
            <w:r>
              <w:rPr>
                <w:sz w:val="22"/>
                <w:szCs w:val="22"/>
              </w:rPr>
              <w:t>1-</w:t>
            </w:r>
            <w:r w:rsidR="00CA5AE3">
              <w:rPr>
                <w:sz w:val="22"/>
                <w:szCs w:val="22"/>
              </w:rPr>
              <w:t xml:space="preserve">The Wonderful World of Human Resources at </w:t>
            </w:r>
            <w:r>
              <w:rPr>
                <w:sz w:val="22"/>
                <w:szCs w:val="22"/>
              </w:rPr>
              <w:t>Disney</w:t>
            </w:r>
          </w:p>
        </w:tc>
      </w:tr>
      <w:tr w:rsidR="0029393F" w:rsidTr="0040649F">
        <w:tc>
          <w:tcPr>
            <w:tcW w:w="918" w:type="dxa"/>
          </w:tcPr>
          <w:p w:rsidR="0029393F" w:rsidRDefault="0029393F" w:rsidP="0029393F">
            <w:pPr>
              <w:jc w:val="both"/>
              <w:rPr>
                <w:sz w:val="22"/>
                <w:szCs w:val="22"/>
              </w:rPr>
            </w:pPr>
          </w:p>
        </w:tc>
        <w:tc>
          <w:tcPr>
            <w:tcW w:w="900" w:type="dxa"/>
          </w:tcPr>
          <w:p w:rsidR="0029393F" w:rsidRDefault="003D6246" w:rsidP="0029393F">
            <w:pPr>
              <w:jc w:val="both"/>
              <w:rPr>
                <w:sz w:val="22"/>
                <w:szCs w:val="22"/>
              </w:rPr>
            </w:pPr>
            <w:r>
              <w:rPr>
                <w:sz w:val="22"/>
                <w:szCs w:val="22"/>
              </w:rPr>
              <w:t>8-2</w:t>
            </w:r>
            <w:r w:rsidR="000D11F5">
              <w:rPr>
                <w:sz w:val="22"/>
                <w:szCs w:val="22"/>
              </w:rPr>
              <w:t>8</w:t>
            </w:r>
          </w:p>
        </w:tc>
        <w:tc>
          <w:tcPr>
            <w:tcW w:w="3580" w:type="dxa"/>
          </w:tcPr>
          <w:p w:rsidR="00096A73" w:rsidRDefault="0029393F" w:rsidP="00840E9C">
            <w:pPr>
              <w:rPr>
                <w:sz w:val="22"/>
                <w:szCs w:val="22"/>
              </w:rPr>
            </w:pPr>
            <w:r>
              <w:rPr>
                <w:sz w:val="22"/>
                <w:szCs w:val="22"/>
              </w:rPr>
              <w:t>2-Organizational Demands &amp; Environmental Influences</w:t>
            </w:r>
          </w:p>
        </w:tc>
        <w:tc>
          <w:tcPr>
            <w:tcW w:w="4022" w:type="dxa"/>
          </w:tcPr>
          <w:p w:rsidR="0029393F" w:rsidRDefault="00CA5AE3" w:rsidP="00CA5AE3">
            <w:pPr>
              <w:rPr>
                <w:sz w:val="22"/>
                <w:szCs w:val="22"/>
              </w:rPr>
            </w:pPr>
            <w:r>
              <w:rPr>
                <w:sz w:val="22"/>
                <w:szCs w:val="22"/>
              </w:rPr>
              <w:t>Case 2-Cisco Syste</w:t>
            </w:r>
            <w:r w:rsidR="0051133C">
              <w:rPr>
                <w:sz w:val="22"/>
                <w:szCs w:val="22"/>
              </w:rPr>
              <w:t>ms: Developing a Human Capital</w:t>
            </w:r>
            <w:r>
              <w:rPr>
                <w:sz w:val="22"/>
                <w:szCs w:val="22"/>
              </w:rPr>
              <w:t xml:space="preserve"> Strategy</w:t>
            </w:r>
          </w:p>
        </w:tc>
      </w:tr>
      <w:tr w:rsidR="000D11F5" w:rsidTr="0040649F">
        <w:tc>
          <w:tcPr>
            <w:tcW w:w="918" w:type="dxa"/>
          </w:tcPr>
          <w:p w:rsidR="000D11F5" w:rsidRDefault="000D11F5" w:rsidP="000D11F5">
            <w:pPr>
              <w:jc w:val="both"/>
              <w:rPr>
                <w:sz w:val="22"/>
                <w:szCs w:val="22"/>
              </w:rPr>
            </w:pPr>
            <w:r>
              <w:rPr>
                <w:sz w:val="22"/>
                <w:szCs w:val="22"/>
              </w:rPr>
              <w:t>2</w:t>
            </w:r>
          </w:p>
        </w:tc>
        <w:tc>
          <w:tcPr>
            <w:tcW w:w="900" w:type="dxa"/>
          </w:tcPr>
          <w:p w:rsidR="000D11F5" w:rsidRDefault="000D11F5" w:rsidP="000D11F5">
            <w:pPr>
              <w:jc w:val="both"/>
              <w:rPr>
                <w:sz w:val="22"/>
                <w:szCs w:val="22"/>
              </w:rPr>
            </w:pPr>
            <w:r w:rsidRPr="00CF4725">
              <w:rPr>
                <w:sz w:val="22"/>
                <w:szCs w:val="22"/>
              </w:rPr>
              <w:t>9-</w:t>
            </w:r>
            <w:r>
              <w:rPr>
                <w:sz w:val="22"/>
                <w:szCs w:val="22"/>
              </w:rPr>
              <w:t>2</w:t>
            </w:r>
          </w:p>
        </w:tc>
        <w:tc>
          <w:tcPr>
            <w:tcW w:w="3580" w:type="dxa"/>
          </w:tcPr>
          <w:p w:rsidR="000D11F5" w:rsidRPr="00B657EB" w:rsidRDefault="000D11F5" w:rsidP="000D11F5">
            <w:pPr>
              <w:jc w:val="both"/>
              <w:rPr>
                <w:b/>
                <w:sz w:val="22"/>
                <w:szCs w:val="22"/>
              </w:rPr>
            </w:pPr>
            <w:r w:rsidRPr="00B657EB">
              <w:rPr>
                <w:b/>
                <w:sz w:val="22"/>
                <w:szCs w:val="22"/>
              </w:rPr>
              <w:t>Labor Day Holiday</w:t>
            </w:r>
          </w:p>
        </w:tc>
        <w:tc>
          <w:tcPr>
            <w:tcW w:w="4022" w:type="dxa"/>
          </w:tcPr>
          <w:p w:rsidR="000D11F5" w:rsidRDefault="000D11F5" w:rsidP="000D11F5">
            <w:pPr>
              <w:jc w:val="both"/>
              <w:rPr>
                <w:sz w:val="22"/>
                <w:szCs w:val="22"/>
              </w:rPr>
            </w:pPr>
            <w:r w:rsidRPr="00C76BE6">
              <w:rPr>
                <w:b/>
                <w:sz w:val="22"/>
                <w:szCs w:val="22"/>
              </w:rPr>
              <w:t>NO class</w:t>
            </w:r>
          </w:p>
        </w:tc>
      </w:tr>
      <w:tr w:rsidR="000D11F5" w:rsidTr="0040649F">
        <w:tc>
          <w:tcPr>
            <w:tcW w:w="918" w:type="dxa"/>
          </w:tcPr>
          <w:p w:rsidR="000D11F5" w:rsidRDefault="000D11F5" w:rsidP="000D11F5">
            <w:pPr>
              <w:jc w:val="both"/>
              <w:rPr>
                <w:sz w:val="22"/>
                <w:szCs w:val="22"/>
              </w:rPr>
            </w:pPr>
          </w:p>
        </w:tc>
        <w:tc>
          <w:tcPr>
            <w:tcW w:w="900" w:type="dxa"/>
          </w:tcPr>
          <w:p w:rsidR="000D11F5" w:rsidRDefault="000D11F5" w:rsidP="000D11F5">
            <w:pPr>
              <w:jc w:val="both"/>
              <w:rPr>
                <w:sz w:val="22"/>
                <w:szCs w:val="22"/>
              </w:rPr>
            </w:pPr>
            <w:r>
              <w:rPr>
                <w:sz w:val="22"/>
                <w:szCs w:val="22"/>
              </w:rPr>
              <w:t>9-4</w:t>
            </w:r>
          </w:p>
        </w:tc>
        <w:tc>
          <w:tcPr>
            <w:tcW w:w="3580" w:type="dxa"/>
          </w:tcPr>
          <w:p w:rsidR="000D11F5" w:rsidRDefault="000D11F5" w:rsidP="000D11F5">
            <w:pPr>
              <w:rPr>
                <w:sz w:val="22"/>
                <w:szCs w:val="22"/>
              </w:rPr>
            </w:pPr>
            <w:r>
              <w:rPr>
                <w:sz w:val="22"/>
                <w:szCs w:val="22"/>
              </w:rPr>
              <w:t>Where do I want to work?</w:t>
            </w:r>
          </w:p>
        </w:tc>
        <w:tc>
          <w:tcPr>
            <w:tcW w:w="4022" w:type="dxa"/>
          </w:tcPr>
          <w:p w:rsidR="000D11F5" w:rsidRDefault="000D11F5" w:rsidP="000D11F5">
            <w:pPr>
              <w:rPr>
                <w:sz w:val="22"/>
                <w:szCs w:val="22"/>
              </w:rPr>
            </w:pPr>
            <w:r>
              <w:rPr>
                <w:sz w:val="22"/>
                <w:szCs w:val="22"/>
              </w:rPr>
              <w:t xml:space="preserve">ONET Interest Profiler and </w:t>
            </w:r>
          </w:p>
          <w:p w:rsidR="000D11F5" w:rsidRDefault="000D11F5" w:rsidP="000D11F5">
            <w:pPr>
              <w:rPr>
                <w:sz w:val="22"/>
                <w:szCs w:val="22"/>
              </w:rPr>
            </w:pPr>
            <w:r>
              <w:rPr>
                <w:sz w:val="22"/>
                <w:szCs w:val="22"/>
              </w:rPr>
              <w:t>Fortune “100 Best Companies”</w:t>
            </w:r>
          </w:p>
        </w:tc>
      </w:tr>
      <w:tr w:rsidR="000D11F5" w:rsidTr="0040649F">
        <w:tc>
          <w:tcPr>
            <w:tcW w:w="918" w:type="dxa"/>
          </w:tcPr>
          <w:p w:rsidR="000D11F5" w:rsidRDefault="000D11F5" w:rsidP="000D11F5">
            <w:pPr>
              <w:jc w:val="both"/>
              <w:rPr>
                <w:sz w:val="22"/>
                <w:szCs w:val="22"/>
              </w:rPr>
            </w:pPr>
            <w:r>
              <w:rPr>
                <w:sz w:val="22"/>
                <w:szCs w:val="22"/>
              </w:rPr>
              <w:t>3</w:t>
            </w:r>
          </w:p>
        </w:tc>
        <w:tc>
          <w:tcPr>
            <w:tcW w:w="900" w:type="dxa"/>
          </w:tcPr>
          <w:p w:rsidR="000D11F5" w:rsidRDefault="000D11F5" w:rsidP="000D11F5">
            <w:pPr>
              <w:jc w:val="both"/>
              <w:rPr>
                <w:sz w:val="22"/>
                <w:szCs w:val="22"/>
              </w:rPr>
            </w:pPr>
            <w:r>
              <w:rPr>
                <w:sz w:val="22"/>
                <w:szCs w:val="22"/>
              </w:rPr>
              <w:t>9-9</w:t>
            </w:r>
          </w:p>
        </w:tc>
        <w:tc>
          <w:tcPr>
            <w:tcW w:w="3580" w:type="dxa"/>
          </w:tcPr>
          <w:p w:rsidR="000D11F5" w:rsidRDefault="000D11F5" w:rsidP="000D11F5">
            <w:pPr>
              <w:rPr>
                <w:sz w:val="22"/>
                <w:szCs w:val="22"/>
              </w:rPr>
            </w:pPr>
            <w:r>
              <w:rPr>
                <w:sz w:val="22"/>
                <w:szCs w:val="22"/>
              </w:rPr>
              <w:t>3-Regulatory Issues</w:t>
            </w:r>
          </w:p>
        </w:tc>
        <w:tc>
          <w:tcPr>
            <w:tcW w:w="4022" w:type="dxa"/>
          </w:tcPr>
          <w:p w:rsidR="000D11F5" w:rsidRDefault="000D11F5" w:rsidP="000D11F5">
            <w:pPr>
              <w:jc w:val="both"/>
              <w:rPr>
                <w:sz w:val="22"/>
                <w:szCs w:val="22"/>
              </w:rPr>
            </w:pPr>
            <w:r>
              <w:rPr>
                <w:sz w:val="22"/>
                <w:szCs w:val="22"/>
              </w:rPr>
              <w:t>Case 3-Uber and its Driver-Partners</w:t>
            </w:r>
          </w:p>
        </w:tc>
      </w:tr>
      <w:tr w:rsidR="000D11F5" w:rsidTr="0040649F">
        <w:tc>
          <w:tcPr>
            <w:tcW w:w="918" w:type="dxa"/>
          </w:tcPr>
          <w:p w:rsidR="000D11F5" w:rsidRDefault="000D11F5" w:rsidP="000D11F5">
            <w:pPr>
              <w:jc w:val="both"/>
              <w:rPr>
                <w:sz w:val="22"/>
                <w:szCs w:val="22"/>
              </w:rPr>
            </w:pPr>
          </w:p>
        </w:tc>
        <w:tc>
          <w:tcPr>
            <w:tcW w:w="900" w:type="dxa"/>
          </w:tcPr>
          <w:p w:rsidR="000D11F5" w:rsidRPr="00CF4725" w:rsidRDefault="000D11F5" w:rsidP="000D11F5">
            <w:pPr>
              <w:jc w:val="both"/>
              <w:rPr>
                <w:sz w:val="22"/>
                <w:szCs w:val="22"/>
              </w:rPr>
            </w:pPr>
            <w:r>
              <w:rPr>
                <w:sz w:val="22"/>
                <w:szCs w:val="22"/>
              </w:rPr>
              <w:t>9-11</w:t>
            </w:r>
          </w:p>
        </w:tc>
        <w:tc>
          <w:tcPr>
            <w:tcW w:w="3580" w:type="dxa"/>
          </w:tcPr>
          <w:p w:rsidR="000D11F5" w:rsidRPr="002B038E" w:rsidRDefault="000D11F5" w:rsidP="000D11F5">
            <w:pPr>
              <w:jc w:val="both"/>
              <w:rPr>
                <w:sz w:val="22"/>
                <w:szCs w:val="22"/>
              </w:rPr>
            </w:pPr>
            <w:r w:rsidRPr="002B038E">
              <w:rPr>
                <w:sz w:val="22"/>
                <w:szCs w:val="22"/>
              </w:rPr>
              <w:t>4-Job Design and Analysis</w:t>
            </w:r>
          </w:p>
        </w:tc>
        <w:tc>
          <w:tcPr>
            <w:tcW w:w="4022" w:type="dxa"/>
          </w:tcPr>
          <w:p w:rsidR="000D11F5" w:rsidRPr="002B038E" w:rsidRDefault="000D11F5" w:rsidP="000D11F5">
            <w:pPr>
              <w:jc w:val="both"/>
              <w:rPr>
                <w:sz w:val="22"/>
                <w:szCs w:val="22"/>
              </w:rPr>
            </w:pPr>
            <w:r>
              <w:rPr>
                <w:sz w:val="22"/>
                <w:szCs w:val="22"/>
              </w:rPr>
              <w:t>Case 4</w:t>
            </w:r>
            <w:r w:rsidRPr="002B038E">
              <w:rPr>
                <w:sz w:val="22"/>
                <w:szCs w:val="22"/>
              </w:rPr>
              <w:t xml:space="preserve">-From Google to </w:t>
            </w:r>
            <w:r>
              <w:rPr>
                <w:sz w:val="22"/>
                <w:szCs w:val="22"/>
              </w:rPr>
              <w:t>Alphabet and Strategy E</w:t>
            </w:r>
            <w:r w:rsidRPr="002B038E">
              <w:rPr>
                <w:sz w:val="22"/>
                <w:szCs w:val="22"/>
              </w:rPr>
              <w:t>xecution Module 10 (JDOT)</w:t>
            </w:r>
          </w:p>
        </w:tc>
      </w:tr>
      <w:tr w:rsidR="000D11F5" w:rsidTr="0040649F">
        <w:tc>
          <w:tcPr>
            <w:tcW w:w="918" w:type="dxa"/>
          </w:tcPr>
          <w:p w:rsidR="000D11F5" w:rsidRDefault="000D11F5" w:rsidP="000D11F5">
            <w:pPr>
              <w:jc w:val="both"/>
              <w:rPr>
                <w:sz w:val="22"/>
                <w:szCs w:val="22"/>
              </w:rPr>
            </w:pPr>
            <w:r>
              <w:rPr>
                <w:sz w:val="22"/>
                <w:szCs w:val="22"/>
              </w:rPr>
              <w:t>4</w:t>
            </w:r>
          </w:p>
        </w:tc>
        <w:tc>
          <w:tcPr>
            <w:tcW w:w="900" w:type="dxa"/>
          </w:tcPr>
          <w:p w:rsidR="000D11F5" w:rsidRDefault="000D11F5" w:rsidP="000D11F5">
            <w:pPr>
              <w:jc w:val="both"/>
              <w:rPr>
                <w:sz w:val="22"/>
                <w:szCs w:val="22"/>
              </w:rPr>
            </w:pPr>
            <w:r>
              <w:rPr>
                <w:sz w:val="22"/>
                <w:szCs w:val="22"/>
              </w:rPr>
              <w:t>9-16</w:t>
            </w:r>
          </w:p>
        </w:tc>
        <w:tc>
          <w:tcPr>
            <w:tcW w:w="3580" w:type="dxa"/>
          </w:tcPr>
          <w:p w:rsidR="000D11F5" w:rsidRDefault="003E761F" w:rsidP="000D11F5">
            <w:pPr>
              <w:rPr>
                <w:sz w:val="22"/>
                <w:szCs w:val="22"/>
              </w:rPr>
            </w:pPr>
            <w:r w:rsidRPr="00012504">
              <w:rPr>
                <w:color w:val="FF0000"/>
                <w:sz w:val="22"/>
                <w:szCs w:val="22"/>
              </w:rPr>
              <w:t>Mid-Term Exam</w:t>
            </w:r>
          </w:p>
        </w:tc>
        <w:tc>
          <w:tcPr>
            <w:tcW w:w="4022" w:type="dxa"/>
          </w:tcPr>
          <w:p w:rsidR="000D11F5" w:rsidRDefault="000D11F5" w:rsidP="000D11F5">
            <w:pPr>
              <w:jc w:val="both"/>
              <w:rPr>
                <w:sz w:val="22"/>
                <w:szCs w:val="22"/>
              </w:rPr>
            </w:pPr>
          </w:p>
        </w:tc>
      </w:tr>
      <w:tr w:rsidR="000D11F5" w:rsidTr="0040649F">
        <w:tc>
          <w:tcPr>
            <w:tcW w:w="918" w:type="dxa"/>
          </w:tcPr>
          <w:p w:rsidR="000D11F5" w:rsidRDefault="000D11F5" w:rsidP="000D11F5">
            <w:pPr>
              <w:jc w:val="both"/>
              <w:rPr>
                <w:sz w:val="22"/>
                <w:szCs w:val="22"/>
              </w:rPr>
            </w:pPr>
          </w:p>
        </w:tc>
        <w:tc>
          <w:tcPr>
            <w:tcW w:w="900" w:type="dxa"/>
          </w:tcPr>
          <w:p w:rsidR="000D11F5" w:rsidRPr="001A44B8" w:rsidRDefault="000D11F5" w:rsidP="000D11F5">
            <w:pPr>
              <w:jc w:val="both"/>
              <w:rPr>
                <w:sz w:val="22"/>
                <w:szCs w:val="22"/>
              </w:rPr>
            </w:pPr>
            <w:r>
              <w:rPr>
                <w:sz w:val="22"/>
                <w:szCs w:val="22"/>
              </w:rPr>
              <w:t>9-18</w:t>
            </w:r>
          </w:p>
        </w:tc>
        <w:tc>
          <w:tcPr>
            <w:tcW w:w="3580" w:type="dxa"/>
          </w:tcPr>
          <w:p w:rsidR="000D11F5" w:rsidRDefault="003E761F" w:rsidP="000D11F5">
            <w:pPr>
              <w:jc w:val="both"/>
              <w:rPr>
                <w:sz w:val="22"/>
                <w:szCs w:val="22"/>
              </w:rPr>
            </w:pPr>
            <w:r>
              <w:rPr>
                <w:sz w:val="22"/>
                <w:szCs w:val="22"/>
              </w:rPr>
              <w:t>Speaker: Ms. Denise Johnson</w:t>
            </w:r>
          </w:p>
        </w:tc>
        <w:tc>
          <w:tcPr>
            <w:tcW w:w="4022" w:type="dxa"/>
          </w:tcPr>
          <w:p w:rsidR="000D11F5" w:rsidRDefault="00AB3346" w:rsidP="000D11F5">
            <w:pPr>
              <w:jc w:val="both"/>
              <w:rPr>
                <w:sz w:val="22"/>
                <w:szCs w:val="22"/>
              </w:rPr>
            </w:pPr>
            <w:r>
              <w:rPr>
                <w:sz w:val="22"/>
                <w:szCs w:val="22"/>
              </w:rPr>
              <w:t>Preparation for Career Fair</w:t>
            </w:r>
          </w:p>
        </w:tc>
      </w:tr>
      <w:tr w:rsidR="000D11F5" w:rsidRPr="0051133C" w:rsidTr="0040649F">
        <w:tc>
          <w:tcPr>
            <w:tcW w:w="918" w:type="dxa"/>
          </w:tcPr>
          <w:p w:rsidR="000D11F5" w:rsidRDefault="000D11F5" w:rsidP="000D11F5">
            <w:pPr>
              <w:jc w:val="both"/>
              <w:rPr>
                <w:sz w:val="22"/>
                <w:szCs w:val="22"/>
              </w:rPr>
            </w:pPr>
            <w:r>
              <w:rPr>
                <w:sz w:val="22"/>
                <w:szCs w:val="22"/>
              </w:rPr>
              <w:t>5</w:t>
            </w:r>
          </w:p>
        </w:tc>
        <w:tc>
          <w:tcPr>
            <w:tcW w:w="900" w:type="dxa"/>
          </w:tcPr>
          <w:p w:rsidR="000D11F5" w:rsidRPr="001A44B8" w:rsidRDefault="000D11F5" w:rsidP="000D11F5">
            <w:pPr>
              <w:jc w:val="both"/>
              <w:rPr>
                <w:sz w:val="22"/>
                <w:szCs w:val="22"/>
              </w:rPr>
            </w:pPr>
            <w:r>
              <w:rPr>
                <w:sz w:val="22"/>
                <w:szCs w:val="22"/>
              </w:rPr>
              <w:t>9-23</w:t>
            </w:r>
          </w:p>
        </w:tc>
        <w:tc>
          <w:tcPr>
            <w:tcW w:w="3580" w:type="dxa"/>
          </w:tcPr>
          <w:p w:rsidR="000D11F5" w:rsidRPr="0051133C" w:rsidRDefault="000D11F5" w:rsidP="000D11F5">
            <w:pPr>
              <w:jc w:val="both"/>
              <w:rPr>
                <w:sz w:val="22"/>
                <w:szCs w:val="22"/>
              </w:rPr>
            </w:pPr>
            <w:r w:rsidRPr="0051133C">
              <w:rPr>
                <w:sz w:val="22"/>
                <w:szCs w:val="22"/>
              </w:rPr>
              <w:t>5-Workforce Planning</w:t>
            </w:r>
          </w:p>
        </w:tc>
        <w:tc>
          <w:tcPr>
            <w:tcW w:w="4022" w:type="dxa"/>
          </w:tcPr>
          <w:p w:rsidR="000D11F5" w:rsidRDefault="000D11F5" w:rsidP="000D11F5">
            <w:pPr>
              <w:jc w:val="both"/>
              <w:rPr>
                <w:sz w:val="22"/>
                <w:szCs w:val="22"/>
              </w:rPr>
            </w:pPr>
            <w:r w:rsidRPr="0051133C">
              <w:rPr>
                <w:sz w:val="22"/>
                <w:szCs w:val="22"/>
              </w:rPr>
              <w:t>Case 5-Money Cash Flow, Inc. (A)</w:t>
            </w:r>
          </w:p>
          <w:p w:rsidR="000D11F5" w:rsidRPr="0051133C" w:rsidRDefault="000D11F5" w:rsidP="000D11F5">
            <w:pPr>
              <w:jc w:val="both"/>
              <w:rPr>
                <w:sz w:val="22"/>
                <w:szCs w:val="22"/>
              </w:rPr>
            </w:pPr>
            <w:r>
              <w:rPr>
                <w:sz w:val="22"/>
                <w:szCs w:val="22"/>
              </w:rPr>
              <w:t>Case 5</w:t>
            </w:r>
            <w:r w:rsidRPr="0051133C">
              <w:rPr>
                <w:sz w:val="22"/>
                <w:szCs w:val="22"/>
              </w:rPr>
              <w:t>-Money Cash Flow, Inc. (B)</w:t>
            </w:r>
          </w:p>
        </w:tc>
      </w:tr>
      <w:tr w:rsidR="000D11F5" w:rsidRPr="0051133C" w:rsidTr="0040649F">
        <w:tc>
          <w:tcPr>
            <w:tcW w:w="918" w:type="dxa"/>
          </w:tcPr>
          <w:p w:rsidR="000D11F5" w:rsidRDefault="000D11F5" w:rsidP="000D11F5">
            <w:pPr>
              <w:jc w:val="both"/>
              <w:rPr>
                <w:sz w:val="22"/>
                <w:szCs w:val="22"/>
              </w:rPr>
            </w:pPr>
          </w:p>
        </w:tc>
        <w:tc>
          <w:tcPr>
            <w:tcW w:w="900" w:type="dxa"/>
          </w:tcPr>
          <w:p w:rsidR="000D11F5" w:rsidRPr="001A44B8" w:rsidRDefault="000D11F5" w:rsidP="000D11F5">
            <w:pPr>
              <w:jc w:val="both"/>
              <w:rPr>
                <w:sz w:val="22"/>
                <w:szCs w:val="22"/>
              </w:rPr>
            </w:pPr>
            <w:r>
              <w:rPr>
                <w:sz w:val="22"/>
                <w:szCs w:val="22"/>
              </w:rPr>
              <w:t>9-25</w:t>
            </w:r>
          </w:p>
        </w:tc>
        <w:tc>
          <w:tcPr>
            <w:tcW w:w="3580" w:type="dxa"/>
          </w:tcPr>
          <w:p w:rsidR="000D11F5" w:rsidRDefault="000D11F5" w:rsidP="000D11F5">
            <w:pPr>
              <w:jc w:val="both"/>
              <w:rPr>
                <w:sz w:val="22"/>
                <w:szCs w:val="22"/>
              </w:rPr>
            </w:pPr>
            <w:r>
              <w:rPr>
                <w:sz w:val="22"/>
                <w:szCs w:val="22"/>
              </w:rPr>
              <w:t>6-Recruitment</w:t>
            </w:r>
          </w:p>
        </w:tc>
        <w:tc>
          <w:tcPr>
            <w:tcW w:w="4022" w:type="dxa"/>
          </w:tcPr>
          <w:p w:rsidR="000D11F5" w:rsidRDefault="000D11F5" w:rsidP="000D11F5">
            <w:pPr>
              <w:jc w:val="both"/>
              <w:rPr>
                <w:sz w:val="22"/>
                <w:szCs w:val="22"/>
              </w:rPr>
            </w:pPr>
            <w:r>
              <w:rPr>
                <w:sz w:val="22"/>
                <w:szCs w:val="22"/>
              </w:rPr>
              <w:t>Case 6-LinkedIn &amp; Modern Recruiting (A and B)</w:t>
            </w:r>
          </w:p>
        </w:tc>
      </w:tr>
      <w:tr w:rsidR="003E761F" w:rsidRPr="0051133C" w:rsidTr="0040649F">
        <w:tc>
          <w:tcPr>
            <w:tcW w:w="918" w:type="dxa"/>
          </w:tcPr>
          <w:p w:rsidR="003E761F" w:rsidRDefault="003E761F" w:rsidP="000D11F5">
            <w:pPr>
              <w:jc w:val="both"/>
              <w:rPr>
                <w:sz w:val="22"/>
                <w:szCs w:val="22"/>
              </w:rPr>
            </w:pPr>
          </w:p>
        </w:tc>
        <w:tc>
          <w:tcPr>
            <w:tcW w:w="900" w:type="dxa"/>
          </w:tcPr>
          <w:p w:rsidR="003E761F" w:rsidRDefault="003E761F" w:rsidP="000D11F5">
            <w:pPr>
              <w:jc w:val="both"/>
              <w:rPr>
                <w:sz w:val="22"/>
                <w:szCs w:val="22"/>
              </w:rPr>
            </w:pPr>
            <w:r>
              <w:rPr>
                <w:sz w:val="22"/>
                <w:szCs w:val="22"/>
              </w:rPr>
              <w:t>9-26</w:t>
            </w:r>
          </w:p>
        </w:tc>
        <w:tc>
          <w:tcPr>
            <w:tcW w:w="3580" w:type="dxa"/>
          </w:tcPr>
          <w:p w:rsidR="003E761F" w:rsidRDefault="003E761F" w:rsidP="000D11F5">
            <w:pPr>
              <w:jc w:val="both"/>
              <w:rPr>
                <w:sz w:val="22"/>
                <w:szCs w:val="22"/>
              </w:rPr>
            </w:pPr>
            <w:r>
              <w:rPr>
                <w:sz w:val="22"/>
                <w:szCs w:val="22"/>
              </w:rPr>
              <w:t>USC CAREER FAIR</w:t>
            </w:r>
          </w:p>
        </w:tc>
        <w:tc>
          <w:tcPr>
            <w:tcW w:w="4022" w:type="dxa"/>
          </w:tcPr>
          <w:p w:rsidR="003E761F" w:rsidRDefault="003E761F" w:rsidP="000D11F5">
            <w:pPr>
              <w:jc w:val="both"/>
              <w:rPr>
                <w:sz w:val="22"/>
                <w:szCs w:val="22"/>
              </w:rPr>
            </w:pPr>
          </w:p>
        </w:tc>
      </w:tr>
      <w:tr w:rsidR="000D11F5" w:rsidTr="0040649F">
        <w:tc>
          <w:tcPr>
            <w:tcW w:w="918" w:type="dxa"/>
          </w:tcPr>
          <w:p w:rsidR="000D11F5" w:rsidRDefault="000D11F5" w:rsidP="000D11F5">
            <w:pPr>
              <w:jc w:val="both"/>
              <w:rPr>
                <w:sz w:val="22"/>
                <w:szCs w:val="22"/>
              </w:rPr>
            </w:pPr>
            <w:r>
              <w:rPr>
                <w:sz w:val="22"/>
                <w:szCs w:val="22"/>
              </w:rPr>
              <w:t>6</w:t>
            </w:r>
          </w:p>
        </w:tc>
        <w:tc>
          <w:tcPr>
            <w:tcW w:w="900" w:type="dxa"/>
          </w:tcPr>
          <w:p w:rsidR="000D11F5" w:rsidRPr="001A44B8" w:rsidRDefault="000D11F5" w:rsidP="000D11F5">
            <w:pPr>
              <w:jc w:val="both"/>
              <w:rPr>
                <w:sz w:val="22"/>
                <w:szCs w:val="22"/>
              </w:rPr>
            </w:pPr>
            <w:r>
              <w:rPr>
                <w:sz w:val="22"/>
                <w:szCs w:val="22"/>
              </w:rPr>
              <w:t>9-30</w:t>
            </w:r>
          </w:p>
        </w:tc>
        <w:tc>
          <w:tcPr>
            <w:tcW w:w="3580" w:type="dxa"/>
          </w:tcPr>
          <w:p w:rsidR="000D11F5" w:rsidRDefault="000D11F5" w:rsidP="000D11F5">
            <w:pPr>
              <w:jc w:val="both"/>
              <w:rPr>
                <w:sz w:val="22"/>
                <w:szCs w:val="22"/>
              </w:rPr>
            </w:pPr>
            <w:r>
              <w:rPr>
                <w:sz w:val="22"/>
                <w:szCs w:val="22"/>
              </w:rPr>
              <w:t>7-Selection</w:t>
            </w:r>
          </w:p>
        </w:tc>
        <w:tc>
          <w:tcPr>
            <w:tcW w:w="4022" w:type="dxa"/>
          </w:tcPr>
          <w:p w:rsidR="000D11F5" w:rsidRDefault="000D11F5" w:rsidP="000D11F5">
            <w:pPr>
              <w:jc w:val="both"/>
              <w:rPr>
                <w:sz w:val="22"/>
                <w:szCs w:val="22"/>
              </w:rPr>
            </w:pPr>
            <w:r>
              <w:rPr>
                <w:sz w:val="22"/>
                <w:szCs w:val="22"/>
              </w:rPr>
              <w:t>Case 7-Values Based Candidate Selection at LinkedIn</w:t>
            </w:r>
          </w:p>
        </w:tc>
      </w:tr>
      <w:tr w:rsidR="000D11F5" w:rsidTr="0040649F">
        <w:tc>
          <w:tcPr>
            <w:tcW w:w="918" w:type="dxa"/>
          </w:tcPr>
          <w:p w:rsidR="000D11F5" w:rsidRDefault="000D11F5" w:rsidP="000D11F5">
            <w:pPr>
              <w:jc w:val="both"/>
              <w:rPr>
                <w:sz w:val="22"/>
                <w:szCs w:val="22"/>
              </w:rPr>
            </w:pPr>
          </w:p>
        </w:tc>
        <w:tc>
          <w:tcPr>
            <w:tcW w:w="900" w:type="dxa"/>
          </w:tcPr>
          <w:p w:rsidR="000D11F5" w:rsidRPr="001A44B8" w:rsidRDefault="000D11F5" w:rsidP="000D11F5">
            <w:pPr>
              <w:jc w:val="both"/>
              <w:rPr>
                <w:sz w:val="22"/>
                <w:szCs w:val="22"/>
              </w:rPr>
            </w:pPr>
            <w:r>
              <w:rPr>
                <w:sz w:val="22"/>
                <w:szCs w:val="22"/>
              </w:rPr>
              <w:t>10-2</w:t>
            </w:r>
          </w:p>
        </w:tc>
        <w:tc>
          <w:tcPr>
            <w:tcW w:w="3580" w:type="dxa"/>
          </w:tcPr>
          <w:p w:rsidR="000D11F5" w:rsidRDefault="000D11F5" w:rsidP="000D11F5">
            <w:pPr>
              <w:jc w:val="both"/>
              <w:rPr>
                <w:sz w:val="22"/>
                <w:szCs w:val="22"/>
              </w:rPr>
            </w:pPr>
            <w:r>
              <w:rPr>
                <w:sz w:val="22"/>
                <w:szCs w:val="22"/>
              </w:rPr>
              <w:t>8-Learning &amp; Development</w:t>
            </w:r>
          </w:p>
        </w:tc>
        <w:tc>
          <w:tcPr>
            <w:tcW w:w="4022" w:type="dxa"/>
          </w:tcPr>
          <w:p w:rsidR="000D11F5" w:rsidRDefault="000D11F5" w:rsidP="000D11F5">
            <w:pPr>
              <w:jc w:val="both"/>
              <w:rPr>
                <w:sz w:val="22"/>
                <w:szCs w:val="22"/>
              </w:rPr>
            </w:pPr>
            <w:r>
              <w:rPr>
                <w:sz w:val="22"/>
                <w:szCs w:val="22"/>
              </w:rPr>
              <w:t>Case 8-Eyes of Janus</w:t>
            </w:r>
          </w:p>
        </w:tc>
      </w:tr>
      <w:tr w:rsidR="000D11F5" w:rsidTr="0040649F">
        <w:tc>
          <w:tcPr>
            <w:tcW w:w="918" w:type="dxa"/>
          </w:tcPr>
          <w:p w:rsidR="000D11F5" w:rsidRDefault="000D11F5" w:rsidP="000D11F5">
            <w:pPr>
              <w:jc w:val="both"/>
              <w:rPr>
                <w:sz w:val="22"/>
                <w:szCs w:val="22"/>
              </w:rPr>
            </w:pPr>
            <w:r>
              <w:rPr>
                <w:sz w:val="22"/>
                <w:szCs w:val="22"/>
              </w:rPr>
              <w:t>7</w:t>
            </w:r>
          </w:p>
        </w:tc>
        <w:tc>
          <w:tcPr>
            <w:tcW w:w="900" w:type="dxa"/>
          </w:tcPr>
          <w:p w:rsidR="000D11F5" w:rsidRPr="001A44B8" w:rsidRDefault="000D11F5" w:rsidP="000D11F5">
            <w:pPr>
              <w:jc w:val="both"/>
              <w:rPr>
                <w:sz w:val="22"/>
                <w:szCs w:val="22"/>
              </w:rPr>
            </w:pPr>
            <w:r w:rsidRPr="00E7291E">
              <w:rPr>
                <w:sz w:val="22"/>
                <w:szCs w:val="22"/>
              </w:rPr>
              <w:t>10-7</w:t>
            </w:r>
          </w:p>
        </w:tc>
        <w:tc>
          <w:tcPr>
            <w:tcW w:w="3580" w:type="dxa"/>
          </w:tcPr>
          <w:p w:rsidR="000D11F5" w:rsidRDefault="00E7291E" w:rsidP="000D11F5">
            <w:pPr>
              <w:jc w:val="both"/>
              <w:rPr>
                <w:sz w:val="22"/>
                <w:szCs w:val="22"/>
              </w:rPr>
            </w:pPr>
            <w:r w:rsidRPr="00012504">
              <w:rPr>
                <w:color w:val="FF0000"/>
                <w:sz w:val="22"/>
                <w:szCs w:val="22"/>
              </w:rPr>
              <w:t>Mid-Term Exam</w:t>
            </w:r>
          </w:p>
        </w:tc>
        <w:tc>
          <w:tcPr>
            <w:tcW w:w="4022" w:type="dxa"/>
          </w:tcPr>
          <w:p w:rsidR="000D11F5" w:rsidRDefault="000D11F5" w:rsidP="000D11F5">
            <w:pPr>
              <w:jc w:val="both"/>
              <w:rPr>
                <w:sz w:val="22"/>
                <w:szCs w:val="22"/>
              </w:rPr>
            </w:pPr>
          </w:p>
        </w:tc>
        <w:bookmarkStart w:id="0" w:name="_GoBack"/>
        <w:bookmarkEnd w:id="0"/>
      </w:tr>
      <w:tr w:rsidR="00E7291E" w:rsidTr="0040649F">
        <w:tc>
          <w:tcPr>
            <w:tcW w:w="918" w:type="dxa"/>
          </w:tcPr>
          <w:p w:rsidR="00E7291E" w:rsidRDefault="00E7291E" w:rsidP="00E7291E">
            <w:pPr>
              <w:jc w:val="both"/>
              <w:rPr>
                <w:sz w:val="22"/>
                <w:szCs w:val="22"/>
              </w:rPr>
            </w:pPr>
          </w:p>
        </w:tc>
        <w:tc>
          <w:tcPr>
            <w:tcW w:w="900" w:type="dxa"/>
          </w:tcPr>
          <w:p w:rsidR="00E7291E" w:rsidRDefault="00E7291E" w:rsidP="00E7291E">
            <w:pPr>
              <w:jc w:val="both"/>
              <w:rPr>
                <w:sz w:val="22"/>
                <w:szCs w:val="22"/>
                <w:highlight w:val="yellow"/>
              </w:rPr>
            </w:pPr>
            <w:r w:rsidRPr="00E7291E">
              <w:rPr>
                <w:sz w:val="22"/>
                <w:szCs w:val="22"/>
                <w:highlight w:val="yellow"/>
              </w:rPr>
              <w:t>10-9</w:t>
            </w:r>
          </w:p>
        </w:tc>
        <w:tc>
          <w:tcPr>
            <w:tcW w:w="3580" w:type="dxa"/>
          </w:tcPr>
          <w:p w:rsidR="00E7291E" w:rsidRDefault="00E7291E" w:rsidP="00E7291E">
            <w:pPr>
              <w:jc w:val="both"/>
              <w:rPr>
                <w:sz w:val="22"/>
                <w:szCs w:val="22"/>
              </w:rPr>
            </w:pPr>
            <w:r>
              <w:rPr>
                <w:sz w:val="22"/>
                <w:szCs w:val="22"/>
              </w:rPr>
              <w:t>Meet in ELC in JFF LL 107</w:t>
            </w:r>
          </w:p>
        </w:tc>
        <w:tc>
          <w:tcPr>
            <w:tcW w:w="4022" w:type="dxa"/>
          </w:tcPr>
          <w:p w:rsidR="00E7291E" w:rsidRDefault="00E7291E" w:rsidP="00E7291E">
            <w:pPr>
              <w:jc w:val="both"/>
              <w:rPr>
                <w:sz w:val="22"/>
                <w:szCs w:val="22"/>
              </w:rPr>
            </w:pPr>
            <w:r w:rsidRPr="00E153B9">
              <w:rPr>
                <w:sz w:val="22"/>
                <w:szCs w:val="22"/>
              </w:rPr>
              <w:t>Selection Decision</w:t>
            </w:r>
          </w:p>
        </w:tc>
      </w:tr>
      <w:tr w:rsidR="00E7291E" w:rsidTr="0040649F">
        <w:tc>
          <w:tcPr>
            <w:tcW w:w="918" w:type="dxa"/>
          </w:tcPr>
          <w:p w:rsidR="00E7291E" w:rsidRDefault="00E7291E" w:rsidP="00E7291E">
            <w:pPr>
              <w:jc w:val="both"/>
              <w:rPr>
                <w:sz w:val="22"/>
                <w:szCs w:val="22"/>
              </w:rPr>
            </w:pPr>
            <w:r>
              <w:rPr>
                <w:sz w:val="22"/>
                <w:szCs w:val="22"/>
              </w:rPr>
              <w:t>8</w:t>
            </w:r>
          </w:p>
        </w:tc>
        <w:tc>
          <w:tcPr>
            <w:tcW w:w="900" w:type="dxa"/>
          </w:tcPr>
          <w:p w:rsidR="00E7291E" w:rsidRPr="0051133C" w:rsidRDefault="00E7291E" w:rsidP="00E7291E">
            <w:pPr>
              <w:jc w:val="both"/>
              <w:rPr>
                <w:sz w:val="22"/>
                <w:szCs w:val="22"/>
              </w:rPr>
            </w:pPr>
            <w:r w:rsidRPr="00840E9C">
              <w:rPr>
                <w:sz w:val="22"/>
                <w:szCs w:val="22"/>
                <w:highlight w:val="yellow"/>
              </w:rPr>
              <w:t>10-14</w:t>
            </w:r>
          </w:p>
        </w:tc>
        <w:tc>
          <w:tcPr>
            <w:tcW w:w="3580" w:type="dxa"/>
          </w:tcPr>
          <w:p w:rsidR="00E7291E" w:rsidRDefault="00E7291E" w:rsidP="00E7291E">
            <w:pPr>
              <w:jc w:val="both"/>
              <w:rPr>
                <w:sz w:val="22"/>
                <w:szCs w:val="22"/>
              </w:rPr>
            </w:pPr>
            <w:r>
              <w:rPr>
                <w:sz w:val="22"/>
                <w:szCs w:val="22"/>
              </w:rPr>
              <w:t>Meet in ELC in JFF LL 107</w:t>
            </w:r>
          </w:p>
        </w:tc>
        <w:tc>
          <w:tcPr>
            <w:tcW w:w="4022" w:type="dxa"/>
          </w:tcPr>
          <w:p w:rsidR="00E7291E" w:rsidRDefault="00E7291E" w:rsidP="00E7291E">
            <w:pPr>
              <w:jc w:val="both"/>
              <w:rPr>
                <w:sz w:val="22"/>
                <w:szCs w:val="22"/>
              </w:rPr>
            </w:pPr>
            <w:r>
              <w:rPr>
                <w:sz w:val="22"/>
                <w:szCs w:val="22"/>
              </w:rPr>
              <w:t>Interview HR/Manager paper DUE</w:t>
            </w:r>
          </w:p>
        </w:tc>
      </w:tr>
      <w:tr w:rsidR="00E7291E" w:rsidTr="0040649F">
        <w:tc>
          <w:tcPr>
            <w:tcW w:w="918" w:type="dxa"/>
          </w:tcPr>
          <w:p w:rsidR="00E7291E" w:rsidRDefault="00E7291E" w:rsidP="00E7291E">
            <w:pPr>
              <w:jc w:val="both"/>
              <w:rPr>
                <w:sz w:val="22"/>
                <w:szCs w:val="22"/>
              </w:rPr>
            </w:pPr>
          </w:p>
        </w:tc>
        <w:tc>
          <w:tcPr>
            <w:tcW w:w="900" w:type="dxa"/>
          </w:tcPr>
          <w:p w:rsidR="00E7291E" w:rsidRPr="0051133C" w:rsidRDefault="00E7291E" w:rsidP="00E7291E">
            <w:pPr>
              <w:jc w:val="both"/>
              <w:rPr>
                <w:sz w:val="22"/>
                <w:szCs w:val="22"/>
              </w:rPr>
            </w:pPr>
            <w:r w:rsidRPr="00840E9C">
              <w:rPr>
                <w:sz w:val="22"/>
                <w:szCs w:val="22"/>
              </w:rPr>
              <w:t>10-16</w:t>
            </w:r>
          </w:p>
        </w:tc>
        <w:tc>
          <w:tcPr>
            <w:tcW w:w="3580" w:type="dxa"/>
          </w:tcPr>
          <w:p w:rsidR="00E7291E" w:rsidRDefault="00E7291E" w:rsidP="00E7291E">
            <w:pPr>
              <w:rPr>
                <w:sz w:val="22"/>
                <w:szCs w:val="22"/>
              </w:rPr>
            </w:pPr>
            <w:r>
              <w:rPr>
                <w:sz w:val="22"/>
                <w:szCs w:val="22"/>
              </w:rPr>
              <w:t>9-Performance Management</w:t>
            </w:r>
          </w:p>
          <w:p w:rsidR="00E7291E" w:rsidRDefault="00E7291E" w:rsidP="00E7291E">
            <w:pPr>
              <w:rPr>
                <w:sz w:val="22"/>
                <w:szCs w:val="22"/>
              </w:rPr>
            </w:pPr>
          </w:p>
        </w:tc>
        <w:tc>
          <w:tcPr>
            <w:tcW w:w="4022" w:type="dxa"/>
          </w:tcPr>
          <w:p w:rsidR="00E7291E" w:rsidRDefault="00E7291E" w:rsidP="00E7291E">
            <w:pPr>
              <w:rPr>
                <w:sz w:val="22"/>
                <w:szCs w:val="22"/>
              </w:rPr>
            </w:pPr>
            <w:r>
              <w:rPr>
                <w:sz w:val="22"/>
                <w:szCs w:val="22"/>
              </w:rPr>
              <w:t>Case 9-Performance Management at Vitality Health Enterprises, Inc.</w:t>
            </w:r>
          </w:p>
        </w:tc>
      </w:tr>
      <w:tr w:rsidR="00E7291E" w:rsidTr="0040649F">
        <w:tc>
          <w:tcPr>
            <w:tcW w:w="918" w:type="dxa"/>
          </w:tcPr>
          <w:p w:rsidR="00E7291E" w:rsidRDefault="00E7291E" w:rsidP="00E7291E">
            <w:pPr>
              <w:jc w:val="both"/>
              <w:rPr>
                <w:sz w:val="22"/>
                <w:szCs w:val="22"/>
              </w:rPr>
            </w:pPr>
            <w:r>
              <w:rPr>
                <w:sz w:val="22"/>
                <w:szCs w:val="22"/>
              </w:rPr>
              <w:t>9</w:t>
            </w:r>
          </w:p>
        </w:tc>
        <w:tc>
          <w:tcPr>
            <w:tcW w:w="900" w:type="dxa"/>
          </w:tcPr>
          <w:p w:rsidR="00E7291E" w:rsidRPr="00840E9C" w:rsidRDefault="00E7291E" w:rsidP="00E7291E">
            <w:pPr>
              <w:jc w:val="both"/>
              <w:rPr>
                <w:sz w:val="22"/>
                <w:szCs w:val="22"/>
                <w:highlight w:val="yellow"/>
              </w:rPr>
            </w:pPr>
            <w:r w:rsidRPr="00840E9C">
              <w:rPr>
                <w:sz w:val="22"/>
                <w:szCs w:val="22"/>
                <w:highlight w:val="yellow"/>
              </w:rPr>
              <w:t>10-21</w:t>
            </w:r>
          </w:p>
        </w:tc>
        <w:tc>
          <w:tcPr>
            <w:tcW w:w="3580" w:type="dxa"/>
          </w:tcPr>
          <w:p w:rsidR="00E7291E" w:rsidRDefault="00E7291E" w:rsidP="00E7291E">
            <w:pPr>
              <w:rPr>
                <w:sz w:val="22"/>
                <w:szCs w:val="22"/>
              </w:rPr>
            </w:pPr>
            <w:r>
              <w:rPr>
                <w:sz w:val="22"/>
                <w:szCs w:val="22"/>
              </w:rPr>
              <w:t>Meet in ELC in JKP 301</w:t>
            </w:r>
          </w:p>
        </w:tc>
        <w:tc>
          <w:tcPr>
            <w:tcW w:w="4022" w:type="dxa"/>
          </w:tcPr>
          <w:p w:rsidR="00E7291E" w:rsidRDefault="00E7291E" w:rsidP="00E7291E">
            <w:pPr>
              <w:jc w:val="both"/>
              <w:rPr>
                <w:sz w:val="22"/>
                <w:szCs w:val="22"/>
              </w:rPr>
            </w:pPr>
            <w:r>
              <w:rPr>
                <w:sz w:val="22"/>
                <w:szCs w:val="22"/>
              </w:rPr>
              <w:t>Compensation</w:t>
            </w:r>
          </w:p>
        </w:tc>
      </w:tr>
      <w:tr w:rsidR="00E7291E" w:rsidTr="0040649F">
        <w:tc>
          <w:tcPr>
            <w:tcW w:w="918" w:type="dxa"/>
          </w:tcPr>
          <w:p w:rsidR="00E7291E" w:rsidRDefault="00E7291E" w:rsidP="00E7291E">
            <w:pPr>
              <w:jc w:val="both"/>
              <w:rPr>
                <w:sz w:val="22"/>
                <w:szCs w:val="22"/>
              </w:rPr>
            </w:pPr>
          </w:p>
        </w:tc>
        <w:tc>
          <w:tcPr>
            <w:tcW w:w="900" w:type="dxa"/>
          </w:tcPr>
          <w:p w:rsidR="00E7291E" w:rsidRDefault="00E7291E" w:rsidP="00E7291E">
            <w:pPr>
              <w:jc w:val="both"/>
              <w:rPr>
                <w:sz w:val="22"/>
                <w:szCs w:val="22"/>
              </w:rPr>
            </w:pPr>
            <w:r w:rsidRPr="00840E9C">
              <w:rPr>
                <w:sz w:val="22"/>
                <w:szCs w:val="22"/>
              </w:rPr>
              <w:t>10-23</w:t>
            </w:r>
          </w:p>
        </w:tc>
        <w:tc>
          <w:tcPr>
            <w:tcW w:w="3580" w:type="dxa"/>
          </w:tcPr>
          <w:p w:rsidR="00E7291E" w:rsidRDefault="00E7291E" w:rsidP="00E7291E">
            <w:pPr>
              <w:rPr>
                <w:sz w:val="22"/>
                <w:szCs w:val="22"/>
              </w:rPr>
            </w:pPr>
            <w:r>
              <w:rPr>
                <w:sz w:val="22"/>
                <w:szCs w:val="22"/>
              </w:rPr>
              <w:t>10-Compensating Employees</w:t>
            </w:r>
          </w:p>
          <w:p w:rsidR="00E7291E" w:rsidRDefault="00E7291E" w:rsidP="00E7291E">
            <w:pPr>
              <w:rPr>
                <w:sz w:val="22"/>
                <w:szCs w:val="22"/>
              </w:rPr>
            </w:pPr>
          </w:p>
        </w:tc>
        <w:tc>
          <w:tcPr>
            <w:tcW w:w="4022" w:type="dxa"/>
          </w:tcPr>
          <w:p w:rsidR="00E7291E" w:rsidRDefault="00E7291E" w:rsidP="00E7291E">
            <w:pPr>
              <w:rPr>
                <w:sz w:val="22"/>
                <w:szCs w:val="22"/>
              </w:rPr>
            </w:pPr>
            <w:r>
              <w:rPr>
                <w:sz w:val="22"/>
                <w:szCs w:val="22"/>
              </w:rPr>
              <w:t>Chapter 10</w:t>
            </w:r>
          </w:p>
          <w:p w:rsidR="00E7291E" w:rsidRDefault="00E7291E" w:rsidP="00E7291E">
            <w:pPr>
              <w:rPr>
                <w:sz w:val="22"/>
                <w:szCs w:val="22"/>
              </w:rPr>
            </w:pPr>
            <w:r>
              <w:rPr>
                <w:sz w:val="22"/>
                <w:szCs w:val="22"/>
              </w:rPr>
              <w:t>The Star Model outside chapter</w:t>
            </w:r>
          </w:p>
        </w:tc>
      </w:tr>
      <w:tr w:rsidR="00E7291E" w:rsidTr="0040649F">
        <w:tc>
          <w:tcPr>
            <w:tcW w:w="918" w:type="dxa"/>
          </w:tcPr>
          <w:p w:rsidR="00E7291E" w:rsidRDefault="00E7291E" w:rsidP="00E7291E">
            <w:pPr>
              <w:jc w:val="both"/>
              <w:rPr>
                <w:sz w:val="22"/>
                <w:szCs w:val="22"/>
              </w:rPr>
            </w:pPr>
            <w:r>
              <w:rPr>
                <w:sz w:val="22"/>
                <w:szCs w:val="22"/>
              </w:rPr>
              <w:t>10</w:t>
            </w:r>
          </w:p>
        </w:tc>
        <w:tc>
          <w:tcPr>
            <w:tcW w:w="900" w:type="dxa"/>
          </w:tcPr>
          <w:p w:rsidR="00E7291E" w:rsidRPr="001A44B8" w:rsidRDefault="00E7291E" w:rsidP="00E7291E">
            <w:pPr>
              <w:jc w:val="both"/>
              <w:rPr>
                <w:sz w:val="22"/>
                <w:szCs w:val="22"/>
              </w:rPr>
            </w:pPr>
            <w:r w:rsidRPr="001A44B8">
              <w:rPr>
                <w:sz w:val="22"/>
                <w:szCs w:val="22"/>
              </w:rPr>
              <w:t>10-2</w:t>
            </w:r>
            <w:r>
              <w:rPr>
                <w:sz w:val="22"/>
                <w:szCs w:val="22"/>
              </w:rPr>
              <w:t>8</w:t>
            </w:r>
          </w:p>
        </w:tc>
        <w:tc>
          <w:tcPr>
            <w:tcW w:w="3580" w:type="dxa"/>
          </w:tcPr>
          <w:p w:rsidR="00E7291E" w:rsidRDefault="00E7291E" w:rsidP="00E7291E">
            <w:pPr>
              <w:jc w:val="both"/>
              <w:rPr>
                <w:color w:val="31849B" w:themeColor="accent5" w:themeShade="BF"/>
                <w:sz w:val="22"/>
                <w:szCs w:val="22"/>
              </w:rPr>
            </w:pPr>
            <w:r w:rsidRPr="00DF57AC">
              <w:rPr>
                <w:color w:val="31849B" w:themeColor="accent5" w:themeShade="BF"/>
                <w:sz w:val="22"/>
                <w:szCs w:val="22"/>
              </w:rPr>
              <w:t>Speaker-</w:t>
            </w:r>
            <w:r>
              <w:rPr>
                <w:color w:val="31849B" w:themeColor="accent5" w:themeShade="BF"/>
                <w:sz w:val="22"/>
                <w:szCs w:val="22"/>
              </w:rPr>
              <w:t xml:space="preserve"> Mr. Todd Shaw</w:t>
            </w:r>
          </w:p>
          <w:p w:rsidR="00E7291E" w:rsidRDefault="00E7291E" w:rsidP="00E7291E">
            <w:pPr>
              <w:jc w:val="both"/>
              <w:rPr>
                <w:sz w:val="22"/>
                <w:szCs w:val="22"/>
              </w:rPr>
            </w:pPr>
          </w:p>
        </w:tc>
        <w:tc>
          <w:tcPr>
            <w:tcW w:w="4022" w:type="dxa"/>
          </w:tcPr>
          <w:p w:rsidR="00E7291E" w:rsidRDefault="00E7291E" w:rsidP="00E7291E">
            <w:pPr>
              <w:jc w:val="both"/>
              <w:rPr>
                <w:sz w:val="22"/>
                <w:szCs w:val="22"/>
              </w:rPr>
            </w:pPr>
            <w:r>
              <w:rPr>
                <w:sz w:val="22"/>
                <w:szCs w:val="22"/>
              </w:rPr>
              <w:t>Chapter 11-Incentives and Rewards</w:t>
            </w:r>
          </w:p>
          <w:p w:rsidR="00E7291E" w:rsidRDefault="00E7291E" w:rsidP="00E7291E">
            <w:pPr>
              <w:rPr>
                <w:sz w:val="22"/>
                <w:szCs w:val="22"/>
              </w:rPr>
            </w:pPr>
            <w:r>
              <w:rPr>
                <w:sz w:val="22"/>
                <w:szCs w:val="22"/>
              </w:rPr>
              <w:t>Case 10-VeriFone case study</w:t>
            </w:r>
          </w:p>
        </w:tc>
      </w:tr>
      <w:tr w:rsidR="00E7291E" w:rsidTr="0040649F">
        <w:tc>
          <w:tcPr>
            <w:tcW w:w="918" w:type="dxa"/>
          </w:tcPr>
          <w:p w:rsidR="00E7291E" w:rsidRDefault="00E7291E" w:rsidP="00E7291E">
            <w:pPr>
              <w:jc w:val="both"/>
              <w:rPr>
                <w:sz w:val="22"/>
                <w:szCs w:val="22"/>
              </w:rPr>
            </w:pPr>
          </w:p>
        </w:tc>
        <w:tc>
          <w:tcPr>
            <w:tcW w:w="900" w:type="dxa"/>
          </w:tcPr>
          <w:p w:rsidR="00E7291E" w:rsidRPr="001A44B8" w:rsidRDefault="00E7291E" w:rsidP="00E7291E">
            <w:pPr>
              <w:jc w:val="both"/>
              <w:rPr>
                <w:sz w:val="22"/>
                <w:szCs w:val="22"/>
              </w:rPr>
            </w:pPr>
            <w:r>
              <w:rPr>
                <w:sz w:val="22"/>
                <w:szCs w:val="22"/>
              </w:rPr>
              <w:t>10-30</w:t>
            </w:r>
          </w:p>
        </w:tc>
        <w:tc>
          <w:tcPr>
            <w:tcW w:w="3580" w:type="dxa"/>
          </w:tcPr>
          <w:p w:rsidR="00E7291E" w:rsidRPr="00C76BE6" w:rsidRDefault="00E7291E" w:rsidP="00E7291E">
            <w:pPr>
              <w:jc w:val="both"/>
              <w:rPr>
                <w:sz w:val="22"/>
                <w:szCs w:val="22"/>
                <w:highlight w:val="yellow"/>
              </w:rPr>
            </w:pPr>
            <w:r>
              <w:rPr>
                <w:sz w:val="22"/>
                <w:szCs w:val="22"/>
              </w:rPr>
              <w:t>11-Incentives and Rewards</w:t>
            </w:r>
          </w:p>
        </w:tc>
        <w:tc>
          <w:tcPr>
            <w:tcW w:w="4022" w:type="dxa"/>
          </w:tcPr>
          <w:p w:rsidR="00E7291E" w:rsidRDefault="00E7291E" w:rsidP="00E7291E">
            <w:pPr>
              <w:jc w:val="both"/>
              <w:rPr>
                <w:sz w:val="22"/>
                <w:szCs w:val="22"/>
              </w:rPr>
            </w:pPr>
            <w:r>
              <w:rPr>
                <w:sz w:val="22"/>
                <w:szCs w:val="22"/>
              </w:rPr>
              <w:t>Case 11-Morgan Stanley Firm-wide 360 Performance Evaluation Process</w:t>
            </w:r>
          </w:p>
        </w:tc>
      </w:tr>
      <w:tr w:rsidR="00E7291E" w:rsidTr="0040649F">
        <w:tc>
          <w:tcPr>
            <w:tcW w:w="918" w:type="dxa"/>
          </w:tcPr>
          <w:p w:rsidR="00E7291E" w:rsidRDefault="00E7291E" w:rsidP="00E7291E">
            <w:pPr>
              <w:jc w:val="both"/>
              <w:rPr>
                <w:sz w:val="22"/>
                <w:szCs w:val="22"/>
              </w:rPr>
            </w:pPr>
            <w:r>
              <w:rPr>
                <w:sz w:val="22"/>
                <w:szCs w:val="22"/>
              </w:rPr>
              <w:t>11</w:t>
            </w:r>
          </w:p>
        </w:tc>
        <w:tc>
          <w:tcPr>
            <w:tcW w:w="900" w:type="dxa"/>
          </w:tcPr>
          <w:p w:rsidR="00E7291E" w:rsidRPr="001A44B8" w:rsidRDefault="00E7291E" w:rsidP="00E7291E">
            <w:pPr>
              <w:jc w:val="both"/>
              <w:rPr>
                <w:sz w:val="22"/>
                <w:szCs w:val="22"/>
              </w:rPr>
            </w:pPr>
            <w:r>
              <w:rPr>
                <w:sz w:val="22"/>
                <w:szCs w:val="22"/>
                <w:highlight w:val="yellow"/>
              </w:rPr>
              <w:t>11-4</w:t>
            </w:r>
          </w:p>
        </w:tc>
        <w:tc>
          <w:tcPr>
            <w:tcW w:w="3580" w:type="dxa"/>
          </w:tcPr>
          <w:p w:rsidR="00E7291E" w:rsidRDefault="00E7291E" w:rsidP="00E7291E">
            <w:pPr>
              <w:rPr>
                <w:sz w:val="22"/>
                <w:szCs w:val="22"/>
              </w:rPr>
            </w:pPr>
            <w:r>
              <w:rPr>
                <w:sz w:val="22"/>
                <w:szCs w:val="22"/>
              </w:rPr>
              <w:t>Meet in ELC in JFF LL 107</w:t>
            </w:r>
          </w:p>
        </w:tc>
        <w:tc>
          <w:tcPr>
            <w:tcW w:w="4022" w:type="dxa"/>
          </w:tcPr>
          <w:p w:rsidR="00E7291E" w:rsidRDefault="00E7291E" w:rsidP="00E7291E">
            <w:pPr>
              <w:jc w:val="both"/>
              <w:rPr>
                <w:sz w:val="22"/>
                <w:szCs w:val="22"/>
              </w:rPr>
            </w:pPr>
            <w:r>
              <w:rPr>
                <w:sz w:val="22"/>
                <w:szCs w:val="22"/>
              </w:rPr>
              <w:t>Chapter 12 – Employee Benefits Design</w:t>
            </w:r>
          </w:p>
        </w:tc>
      </w:tr>
      <w:tr w:rsidR="00E7291E" w:rsidTr="0040649F">
        <w:tc>
          <w:tcPr>
            <w:tcW w:w="918" w:type="dxa"/>
          </w:tcPr>
          <w:p w:rsidR="00E7291E" w:rsidRDefault="00E7291E" w:rsidP="00E7291E">
            <w:pPr>
              <w:jc w:val="both"/>
              <w:rPr>
                <w:sz w:val="22"/>
                <w:szCs w:val="22"/>
              </w:rPr>
            </w:pPr>
          </w:p>
        </w:tc>
        <w:tc>
          <w:tcPr>
            <w:tcW w:w="900" w:type="dxa"/>
          </w:tcPr>
          <w:p w:rsidR="00E7291E" w:rsidRPr="001A44B8" w:rsidRDefault="00E7291E" w:rsidP="00E7291E">
            <w:pPr>
              <w:jc w:val="both"/>
              <w:rPr>
                <w:sz w:val="22"/>
                <w:szCs w:val="22"/>
              </w:rPr>
            </w:pPr>
            <w:r>
              <w:rPr>
                <w:sz w:val="22"/>
                <w:szCs w:val="22"/>
              </w:rPr>
              <w:t>11-6</w:t>
            </w:r>
          </w:p>
        </w:tc>
        <w:tc>
          <w:tcPr>
            <w:tcW w:w="3580" w:type="dxa"/>
          </w:tcPr>
          <w:p w:rsidR="00E7291E" w:rsidRDefault="00E7291E" w:rsidP="00E7291E">
            <w:pPr>
              <w:rPr>
                <w:sz w:val="22"/>
                <w:szCs w:val="22"/>
              </w:rPr>
            </w:pPr>
            <w:r>
              <w:rPr>
                <w:sz w:val="22"/>
                <w:szCs w:val="22"/>
              </w:rPr>
              <w:t>12-Employee Benefits and Safety Programs</w:t>
            </w:r>
          </w:p>
        </w:tc>
        <w:tc>
          <w:tcPr>
            <w:tcW w:w="4022" w:type="dxa"/>
          </w:tcPr>
          <w:p w:rsidR="00E7291E" w:rsidRDefault="00E7291E" w:rsidP="00E7291E">
            <w:pPr>
              <w:rPr>
                <w:sz w:val="22"/>
                <w:szCs w:val="22"/>
              </w:rPr>
            </w:pPr>
            <w:r>
              <w:rPr>
                <w:sz w:val="22"/>
                <w:szCs w:val="22"/>
              </w:rPr>
              <w:t>Case 13-DPDHL Group: Employee Safety and Wellbeing</w:t>
            </w:r>
          </w:p>
        </w:tc>
      </w:tr>
      <w:tr w:rsidR="00E7291E" w:rsidTr="0040649F">
        <w:tc>
          <w:tcPr>
            <w:tcW w:w="918" w:type="dxa"/>
          </w:tcPr>
          <w:p w:rsidR="00E7291E" w:rsidRDefault="00E7291E" w:rsidP="00E7291E">
            <w:pPr>
              <w:jc w:val="both"/>
              <w:rPr>
                <w:sz w:val="22"/>
                <w:szCs w:val="22"/>
              </w:rPr>
            </w:pPr>
            <w:r>
              <w:rPr>
                <w:sz w:val="22"/>
                <w:szCs w:val="22"/>
              </w:rPr>
              <w:t>12</w:t>
            </w:r>
          </w:p>
        </w:tc>
        <w:tc>
          <w:tcPr>
            <w:tcW w:w="900" w:type="dxa"/>
          </w:tcPr>
          <w:p w:rsidR="00E7291E" w:rsidRPr="001A44B8" w:rsidRDefault="00E7291E" w:rsidP="00E7291E">
            <w:pPr>
              <w:jc w:val="both"/>
              <w:rPr>
                <w:sz w:val="22"/>
                <w:szCs w:val="22"/>
              </w:rPr>
            </w:pPr>
            <w:r w:rsidRPr="001E4A6F">
              <w:rPr>
                <w:sz w:val="22"/>
                <w:szCs w:val="22"/>
                <w:highlight w:val="yellow"/>
              </w:rPr>
              <w:t>11-</w:t>
            </w:r>
            <w:r>
              <w:rPr>
                <w:sz w:val="22"/>
                <w:szCs w:val="22"/>
                <w:highlight w:val="yellow"/>
              </w:rPr>
              <w:t>11</w:t>
            </w:r>
          </w:p>
        </w:tc>
        <w:tc>
          <w:tcPr>
            <w:tcW w:w="3580" w:type="dxa"/>
          </w:tcPr>
          <w:p w:rsidR="00E7291E" w:rsidRDefault="00E7291E" w:rsidP="00E7291E">
            <w:pPr>
              <w:rPr>
                <w:sz w:val="22"/>
                <w:szCs w:val="22"/>
              </w:rPr>
            </w:pPr>
            <w:r>
              <w:rPr>
                <w:sz w:val="22"/>
                <w:szCs w:val="22"/>
              </w:rPr>
              <w:t>Meet in ELC in JFF LL 107</w:t>
            </w:r>
          </w:p>
        </w:tc>
        <w:tc>
          <w:tcPr>
            <w:tcW w:w="4022" w:type="dxa"/>
          </w:tcPr>
          <w:p w:rsidR="00E7291E" w:rsidRDefault="00E7291E" w:rsidP="00E7291E">
            <w:pPr>
              <w:jc w:val="both"/>
              <w:rPr>
                <w:sz w:val="22"/>
                <w:szCs w:val="22"/>
              </w:rPr>
            </w:pPr>
            <w:r>
              <w:rPr>
                <w:sz w:val="22"/>
                <w:szCs w:val="22"/>
              </w:rPr>
              <w:t>Labor Relations</w:t>
            </w:r>
          </w:p>
        </w:tc>
      </w:tr>
      <w:tr w:rsidR="00E7291E" w:rsidTr="0040649F">
        <w:tc>
          <w:tcPr>
            <w:tcW w:w="918" w:type="dxa"/>
          </w:tcPr>
          <w:p w:rsidR="00E7291E" w:rsidRDefault="00E7291E" w:rsidP="00E7291E">
            <w:pPr>
              <w:jc w:val="both"/>
              <w:rPr>
                <w:sz w:val="22"/>
                <w:szCs w:val="22"/>
              </w:rPr>
            </w:pPr>
          </w:p>
        </w:tc>
        <w:tc>
          <w:tcPr>
            <w:tcW w:w="900" w:type="dxa"/>
          </w:tcPr>
          <w:p w:rsidR="00E7291E" w:rsidRPr="001A44B8" w:rsidRDefault="00E7291E" w:rsidP="00E7291E">
            <w:pPr>
              <w:jc w:val="both"/>
              <w:rPr>
                <w:sz w:val="22"/>
                <w:szCs w:val="22"/>
              </w:rPr>
            </w:pPr>
            <w:r>
              <w:rPr>
                <w:sz w:val="22"/>
                <w:szCs w:val="22"/>
              </w:rPr>
              <w:t>11-13</w:t>
            </w:r>
          </w:p>
        </w:tc>
        <w:tc>
          <w:tcPr>
            <w:tcW w:w="3580" w:type="dxa"/>
          </w:tcPr>
          <w:p w:rsidR="00E7291E" w:rsidRDefault="00E7291E" w:rsidP="00E7291E">
            <w:pPr>
              <w:rPr>
                <w:sz w:val="22"/>
                <w:szCs w:val="22"/>
              </w:rPr>
            </w:pPr>
            <w:r>
              <w:rPr>
                <w:sz w:val="22"/>
                <w:szCs w:val="22"/>
              </w:rPr>
              <w:t xml:space="preserve">13-Labor Unions &amp; </w:t>
            </w:r>
            <w:r w:rsidRPr="00482438">
              <w:rPr>
                <w:sz w:val="22"/>
                <w:szCs w:val="22"/>
              </w:rPr>
              <w:t>Employee</w:t>
            </w:r>
            <w:r>
              <w:rPr>
                <w:sz w:val="22"/>
                <w:szCs w:val="22"/>
              </w:rPr>
              <w:t xml:space="preserve"> </w:t>
            </w:r>
            <w:proofErr w:type="spellStart"/>
            <w:r>
              <w:rPr>
                <w:sz w:val="22"/>
                <w:szCs w:val="22"/>
              </w:rPr>
              <w:t>Mgmt</w:t>
            </w:r>
            <w:proofErr w:type="spellEnd"/>
          </w:p>
        </w:tc>
        <w:tc>
          <w:tcPr>
            <w:tcW w:w="4022" w:type="dxa"/>
          </w:tcPr>
          <w:p w:rsidR="00E7291E" w:rsidRDefault="00E7291E" w:rsidP="00E7291E">
            <w:pPr>
              <w:jc w:val="both"/>
              <w:rPr>
                <w:sz w:val="22"/>
                <w:szCs w:val="22"/>
              </w:rPr>
            </w:pPr>
          </w:p>
        </w:tc>
      </w:tr>
      <w:tr w:rsidR="00E7291E" w:rsidTr="0040649F">
        <w:tc>
          <w:tcPr>
            <w:tcW w:w="918" w:type="dxa"/>
          </w:tcPr>
          <w:p w:rsidR="00E7291E" w:rsidRDefault="00E7291E" w:rsidP="00E7291E">
            <w:pPr>
              <w:jc w:val="both"/>
              <w:rPr>
                <w:sz w:val="22"/>
                <w:szCs w:val="22"/>
              </w:rPr>
            </w:pPr>
            <w:r>
              <w:rPr>
                <w:sz w:val="22"/>
                <w:szCs w:val="22"/>
              </w:rPr>
              <w:t>13</w:t>
            </w:r>
          </w:p>
        </w:tc>
        <w:tc>
          <w:tcPr>
            <w:tcW w:w="900" w:type="dxa"/>
          </w:tcPr>
          <w:p w:rsidR="00E7291E" w:rsidRPr="001A44B8" w:rsidRDefault="00E7291E" w:rsidP="00E7291E">
            <w:pPr>
              <w:jc w:val="both"/>
              <w:rPr>
                <w:sz w:val="22"/>
                <w:szCs w:val="22"/>
              </w:rPr>
            </w:pPr>
            <w:r w:rsidRPr="00322601">
              <w:rPr>
                <w:sz w:val="22"/>
                <w:szCs w:val="22"/>
              </w:rPr>
              <w:t>11-1</w:t>
            </w:r>
            <w:r>
              <w:rPr>
                <w:sz w:val="22"/>
                <w:szCs w:val="22"/>
              </w:rPr>
              <w:t>8</w:t>
            </w:r>
          </w:p>
        </w:tc>
        <w:tc>
          <w:tcPr>
            <w:tcW w:w="3580" w:type="dxa"/>
          </w:tcPr>
          <w:p w:rsidR="00E7291E" w:rsidRPr="00322601" w:rsidRDefault="00E7291E" w:rsidP="00E7291E">
            <w:pPr>
              <w:rPr>
                <w:sz w:val="22"/>
                <w:szCs w:val="22"/>
              </w:rPr>
            </w:pPr>
            <w:r>
              <w:rPr>
                <w:sz w:val="22"/>
                <w:szCs w:val="22"/>
              </w:rPr>
              <w:t xml:space="preserve">13-Labor Unions &amp; </w:t>
            </w:r>
            <w:r w:rsidRPr="00482438">
              <w:rPr>
                <w:sz w:val="22"/>
                <w:szCs w:val="22"/>
              </w:rPr>
              <w:t>Employee</w:t>
            </w:r>
            <w:r>
              <w:rPr>
                <w:sz w:val="22"/>
                <w:szCs w:val="22"/>
              </w:rPr>
              <w:t xml:space="preserve"> </w:t>
            </w:r>
            <w:proofErr w:type="spellStart"/>
            <w:r>
              <w:rPr>
                <w:sz w:val="22"/>
                <w:szCs w:val="22"/>
              </w:rPr>
              <w:t>Mgmt</w:t>
            </w:r>
            <w:proofErr w:type="spellEnd"/>
          </w:p>
        </w:tc>
        <w:tc>
          <w:tcPr>
            <w:tcW w:w="4022" w:type="dxa"/>
          </w:tcPr>
          <w:p w:rsidR="00E7291E" w:rsidRDefault="00E7291E" w:rsidP="00E7291E">
            <w:pPr>
              <w:rPr>
                <w:sz w:val="22"/>
                <w:szCs w:val="22"/>
              </w:rPr>
            </w:pPr>
            <w:r>
              <w:rPr>
                <w:sz w:val="22"/>
                <w:szCs w:val="22"/>
              </w:rPr>
              <w:t>Case 14-Health Care in Twin Cities</w:t>
            </w:r>
          </w:p>
        </w:tc>
      </w:tr>
      <w:tr w:rsidR="00E7291E" w:rsidTr="0040649F">
        <w:tc>
          <w:tcPr>
            <w:tcW w:w="918" w:type="dxa"/>
          </w:tcPr>
          <w:p w:rsidR="00E7291E" w:rsidRDefault="00E7291E" w:rsidP="00E7291E">
            <w:pPr>
              <w:jc w:val="both"/>
              <w:rPr>
                <w:sz w:val="22"/>
                <w:szCs w:val="22"/>
              </w:rPr>
            </w:pPr>
          </w:p>
        </w:tc>
        <w:tc>
          <w:tcPr>
            <w:tcW w:w="900" w:type="dxa"/>
          </w:tcPr>
          <w:p w:rsidR="00E7291E" w:rsidRPr="001A44B8" w:rsidRDefault="00E7291E" w:rsidP="00E7291E">
            <w:pPr>
              <w:jc w:val="both"/>
              <w:rPr>
                <w:sz w:val="22"/>
                <w:szCs w:val="22"/>
              </w:rPr>
            </w:pPr>
            <w:r>
              <w:rPr>
                <w:sz w:val="22"/>
                <w:szCs w:val="22"/>
                <w:highlight w:val="yellow"/>
              </w:rPr>
              <w:t>11-20</w:t>
            </w:r>
          </w:p>
        </w:tc>
        <w:tc>
          <w:tcPr>
            <w:tcW w:w="3580" w:type="dxa"/>
          </w:tcPr>
          <w:p w:rsidR="00E7291E" w:rsidRDefault="00E7291E" w:rsidP="00E7291E">
            <w:pPr>
              <w:rPr>
                <w:sz w:val="22"/>
                <w:szCs w:val="22"/>
              </w:rPr>
            </w:pPr>
            <w:r>
              <w:rPr>
                <w:sz w:val="22"/>
                <w:szCs w:val="22"/>
              </w:rPr>
              <w:t>Meet in ELC in JKP 301</w:t>
            </w:r>
          </w:p>
        </w:tc>
        <w:tc>
          <w:tcPr>
            <w:tcW w:w="4022" w:type="dxa"/>
          </w:tcPr>
          <w:p w:rsidR="00E7291E" w:rsidRDefault="00E7291E" w:rsidP="00E7291E">
            <w:pPr>
              <w:rPr>
                <w:sz w:val="22"/>
                <w:szCs w:val="22"/>
              </w:rPr>
            </w:pPr>
            <w:r>
              <w:rPr>
                <w:sz w:val="22"/>
                <w:szCs w:val="22"/>
              </w:rPr>
              <w:t>Case 12-Nordstrom: The Workplace Violence Dilemma</w:t>
            </w:r>
          </w:p>
        </w:tc>
      </w:tr>
      <w:tr w:rsidR="00E7291E" w:rsidTr="0040649F">
        <w:tc>
          <w:tcPr>
            <w:tcW w:w="918" w:type="dxa"/>
          </w:tcPr>
          <w:p w:rsidR="00E7291E" w:rsidRDefault="00E7291E" w:rsidP="00E7291E">
            <w:pPr>
              <w:jc w:val="both"/>
              <w:rPr>
                <w:sz w:val="22"/>
                <w:szCs w:val="22"/>
              </w:rPr>
            </w:pPr>
            <w:r>
              <w:rPr>
                <w:sz w:val="22"/>
                <w:szCs w:val="22"/>
              </w:rPr>
              <w:t>14</w:t>
            </w:r>
          </w:p>
        </w:tc>
        <w:tc>
          <w:tcPr>
            <w:tcW w:w="900" w:type="dxa"/>
          </w:tcPr>
          <w:p w:rsidR="00E7291E" w:rsidRPr="001A44B8" w:rsidRDefault="00E7291E" w:rsidP="00E7291E">
            <w:pPr>
              <w:jc w:val="both"/>
              <w:rPr>
                <w:sz w:val="22"/>
                <w:szCs w:val="22"/>
              </w:rPr>
            </w:pPr>
            <w:r>
              <w:rPr>
                <w:sz w:val="22"/>
                <w:szCs w:val="22"/>
              </w:rPr>
              <w:t>11-25</w:t>
            </w:r>
          </w:p>
        </w:tc>
        <w:tc>
          <w:tcPr>
            <w:tcW w:w="3580" w:type="dxa"/>
          </w:tcPr>
          <w:p w:rsidR="00E7291E" w:rsidRDefault="00E7291E" w:rsidP="00E7291E">
            <w:pPr>
              <w:rPr>
                <w:sz w:val="22"/>
                <w:szCs w:val="22"/>
              </w:rPr>
            </w:pPr>
            <w:r>
              <w:rPr>
                <w:sz w:val="22"/>
                <w:szCs w:val="22"/>
              </w:rPr>
              <w:t>14-Creating High Performance HR Systems</w:t>
            </w:r>
          </w:p>
        </w:tc>
        <w:tc>
          <w:tcPr>
            <w:tcW w:w="4022" w:type="dxa"/>
          </w:tcPr>
          <w:p w:rsidR="00E7291E" w:rsidRDefault="00E7291E" w:rsidP="00E7291E">
            <w:pPr>
              <w:jc w:val="both"/>
              <w:rPr>
                <w:sz w:val="22"/>
                <w:szCs w:val="22"/>
              </w:rPr>
            </w:pPr>
            <w:r>
              <w:rPr>
                <w:sz w:val="22"/>
                <w:szCs w:val="22"/>
              </w:rPr>
              <w:t>Case 15-Verizon Communications, Inc.</w:t>
            </w:r>
          </w:p>
          <w:p w:rsidR="00E7291E" w:rsidRDefault="00E7291E" w:rsidP="00E7291E">
            <w:pPr>
              <w:jc w:val="both"/>
              <w:rPr>
                <w:sz w:val="22"/>
                <w:szCs w:val="22"/>
              </w:rPr>
            </w:pPr>
            <w:r>
              <w:rPr>
                <w:sz w:val="22"/>
                <w:szCs w:val="22"/>
              </w:rPr>
              <w:t>Strategy Execution Module 9 Scorecard</w:t>
            </w:r>
          </w:p>
        </w:tc>
      </w:tr>
      <w:tr w:rsidR="00E7291E" w:rsidTr="0040649F">
        <w:tc>
          <w:tcPr>
            <w:tcW w:w="918" w:type="dxa"/>
          </w:tcPr>
          <w:p w:rsidR="00E7291E" w:rsidRDefault="00E7291E" w:rsidP="00E7291E">
            <w:pPr>
              <w:jc w:val="both"/>
              <w:rPr>
                <w:sz w:val="22"/>
                <w:szCs w:val="22"/>
              </w:rPr>
            </w:pPr>
          </w:p>
        </w:tc>
        <w:tc>
          <w:tcPr>
            <w:tcW w:w="900" w:type="dxa"/>
          </w:tcPr>
          <w:p w:rsidR="00E7291E" w:rsidRDefault="00E7291E" w:rsidP="00E7291E">
            <w:pPr>
              <w:jc w:val="both"/>
              <w:rPr>
                <w:sz w:val="22"/>
                <w:szCs w:val="22"/>
              </w:rPr>
            </w:pPr>
            <w:r>
              <w:rPr>
                <w:sz w:val="22"/>
                <w:szCs w:val="22"/>
              </w:rPr>
              <w:t>11-27</w:t>
            </w:r>
          </w:p>
        </w:tc>
        <w:tc>
          <w:tcPr>
            <w:tcW w:w="3580" w:type="dxa"/>
          </w:tcPr>
          <w:p w:rsidR="00E7291E" w:rsidRPr="00C76BE6" w:rsidRDefault="00E7291E" w:rsidP="00E7291E">
            <w:pPr>
              <w:jc w:val="both"/>
              <w:rPr>
                <w:b/>
                <w:sz w:val="22"/>
                <w:szCs w:val="22"/>
              </w:rPr>
            </w:pPr>
            <w:r w:rsidRPr="00C76BE6">
              <w:rPr>
                <w:b/>
                <w:sz w:val="22"/>
                <w:szCs w:val="22"/>
              </w:rPr>
              <w:t>THANKSGIVING HOLIDAY</w:t>
            </w:r>
          </w:p>
        </w:tc>
        <w:tc>
          <w:tcPr>
            <w:tcW w:w="4022" w:type="dxa"/>
          </w:tcPr>
          <w:p w:rsidR="00E7291E" w:rsidRPr="00C76BE6" w:rsidRDefault="00E7291E" w:rsidP="00E7291E">
            <w:pPr>
              <w:jc w:val="both"/>
              <w:rPr>
                <w:b/>
                <w:sz w:val="22"/>
                <w:szCs w:val="22"/>
              </w:rPr>
            </w:pPr>
            <w:r w:rsidRPr="00C76BE6">
              <w:rPr>
                <w:b/>
                <w:sz w:val="22"/>
                <w:szCs w:val="22"/>
              </w:rPr>
              <w:t xml:space="preserve">NO class </w:t>
            </w:r>
          </w:p>
        </w:tc>
      </w:tr>
      <w:tr w:rsidR="00E7291E" w:rsidTr="0040649F">
        <w:tc>
          <w:tcPr>
            <w:tcW w:w="918" w:type="dxa"/>
          </w:tcPr>
          <w:p w:rsidR="00E7291E" w:rsidRDefault="00E7291E" w:rsidP="00E7291E">
            <w:pPr>
              <w:jc w:val="both"/>
              <w:rPr>
                <w:sz w:val="22"/>
                <w:szCs w:val="22"/>
              </w:rPr>
            </w:pPr>
            <w:r>
              <w:rPr>
                <w:sz w:val="22"/>
                <w:szCs w:val="22"/>
              </w:rPr>
              <w:t>15</w:t>
            </w:r>
          </w:p>
        </w:tc>
        <w:tc>
          <w:tcPr>
            <w:tcW w:w="900" w:type="dxa"/>
          </w:tcPr>
          <w:p w:rsidR="00E7291E" w:rsidRDefault="00E7291E" w:rsidP="00E7291E">
            <w:pPr>
              <w:jc w:val="both"/>
              <w:rPr>
                <w:sz w:val="22"/>
                <w:szCs w:val="22"/>
              </w:rPr>
            </w:pPr>
            <w:r>
              <w:rPr>
                <w:sz w:val="22"/>
                <w:szCs w:val="22"/>
              </w:rPr>
              <w:t>12-2</w:t>
            </w:r>
          </w:p>
        </w:tc>
        <w:tc>
          <w:tcPr>
            <w:tcW w:w="3580" w:type="dxa"/>
          </w:tcPr>
          <w:p w:rsidR="00E7291E" w:rsidRPr="00C76BE6" w:rsidRDefault="00E7291E" w:rsidP="00E7291E">
            <w:pPr>
              <w:jc w:val="both"/>
              <w:rPr>
                <w:b/>
                <w:sz w:val="22"/>
                <w:szCs w:val="22"/>
              </w:rPr>
            </w:pPr>
            <w:r>
              <w:rPr>
                <w:sz w:val="22"/>
                <w:szCs w:val="22"/>
              </w:rPr>
              <w:t>Team Project Presentations</w:t>
            </w:r>
          </w:p>
        </w:tc>
        <w:tc>
          <w:tcPr>
            <w:tcW w:w="4022" w:type="dxa"/>
          </w:tcPr>
          <w:p w:rsidR="00E7291E" w:rsidRPr="00C76BE6" w:rsidRDefault="00E7291E" w:rsidP="00E7291E">
            <w:pPr>
              <w:jc w:val="both"/>
              <w:rPr>
                <w:b/>
                <w:sz w:val="22"/>
                <w:szCs w:val="22"/>
              </w:rPr>
            </w:pPr>
          </w:p>
        </w:tc>
      </w:tr>
      <w:tr w:rsidR="00E7291E" w:rsidTr="0040649F">
        <w:tc>
          <w:tcPr>
            <w:tcW w:w="918" w:type="dxa"/>
          </w:tcPr>
          <w:p w:rsidR="00E7291E" w:rsidRDefault="00E7291E" w:rsidP="00E7291E">
            <w:pPr>
              <w:jc w:val="both"/>
              <w:rPr>
                <w:sz w:val="22"/>
                <w:szCs w:val="22"/>
              </w:rPr>
            </w:pPr>
          </w:p>
        </w:tc>
        <w:tc>
          <w:tcPr>
            <w:tcW w:w="900" w:type="dxa"/>
          </w:tcPr>
          <w:p w:rsidR="00E7291E" w:rsidRDefault="00E7291E" w:rsidP="00E7291E">
            <w:pPr>
              <w:jc w:val="both"/>
              <w:rPr>
                <w:sz w:val="22"/>
                <w:szCs w:val="22"/>
              </w:rPr>
            </w:pPr>
            <w:r>
              <w:rPr>
                <w:sz w:val="22"/>
                <w:szCs w:val="22"/>
              </w:rPr>
              <w:t>12-4</w:t>
            </w:r>
          </w:p>
        </w:tc>
        <w:tc>
          <w:tcPr>
            <w:tcW w:w="3580" w:type="dxa"/>
          </w:tcPr>
          <w:p w:rsidR="00E7291E" w:rsidRDefault="00E7291E" w:rsidP="00E7291E">
            <w:pPr>
              <w:jc w:val="both"/>
              <w:rPr>
                <w:sz w:val="22"/>
                <w:szCs w:val="22"/>
              </w:rPr>
            </w:pPr>
            <w:r>
              <w:rPr>
                <w:sz w:val="22"/>
                <w:szCs w:val="22"/>
              </w:rPr>
              <w:t>Team Project Presentations</w:t>
            </w:r>
          </w:p>
        </w:tc>
        <w:tc>
          <w:tcPr>
            <w:tcW w:w="4022" w:type="dxa"/>
          </w:tcPr>
          <w:p w:rsidR="00E7291E" w:rsidRDefault="00E7291E" w:rsidP="00E7291E">
            <w:pPr>
              <w:jc w:val="both"/>
              <w:rPr>
                <w:sz w:val="22"/>
                <w:szCs w:val="22"/>
              </w:rPr>
            </w:pPr>
            <w:r>
              <w:rPr>
                <w:sz w:val="22"/>
                <w:szCs w:val="22"/>
              </w:rPr>
              <w:t>Course Evaluation</w:t>
            </w:r>
          </w:p>
        </w:tc>
      </w:tr>
      <w:tr w:rsidR="00E7291E" w:rsidTr="0040649F">
        <w:tc>
          <w:tcPr>
            <w:tcW w:w="918" w:type="dxa"/>
          </w:tcPr>
          <w:p w:rsidR="00E7291E" w:rsidRPr="0051133C" w:rsidRDefault="00E7291E" w:rsidP="00E7291E">
            <w:pPr>
              <w:jc w:val="both"/>
              <w:rPr>
                <w:b/>
                <w:sz w:val="22"/>
                <w:szCs w:val="22"/>
              </w:rPr>
            </w:pPr>
            <w:r w:rsidRPr="0051133C">
              <w:rPr>
                <w:b/>
                <w:sz w:val="22"/>
                <w:szCs w:val="22"/>
              </w:rPr>
              <w:t>Friday</w:t>
            </w:r>
          </w:p>
        </w:tc>
        <w:tc>
          <w:tcPr>
            <w:tcW w:w="900" w:type="dxa"/>
          </w:tcPr>
          <w:p w:rsidR="00E7291E" w:rsidRPr="0051133C" w:rsidRDefault="00E7291E" w:rsidP="00E7291E">
            <w:pPr>
              <w:jc w:val="both"/>
              <w:rPr>
                <w:b/>
                <w:sz w:val="22"/>
                <w:szCs w:val="22"/>
              </w:rPr>
            </w:pPr>
            <w:r w:rsidRPr="0051133C">
              <w:rPr>
                <w:b/>
                <w:sz w:val="22"/>
                <w:szCs w:val="22"/>
              </w:rPr>
              <w:t>12-</w:t>
            </w:r>
            <w:r>
              <w:rPr>
                <w:b/>
                <w:sz w:val="22"/>
                <w:szCs w:val="22"/>
              </w:rPr>
              <w:t>13</w:t>
            </w:r>
          </w:p>
        </w:tc>
        <w:tc>
          <w:tcPr>
            <w:tcW w:w="3580" w:type="dxa"/>
          </w:tcPr>
          <w:p w:rsidR="00E7291E" w:rsidRPr="00C76BE6" w:rsidRDefault="00E7291E" w:rsidP="00E7291E">
            <w:pPr>
              <w:jc w:val="both"/>
              <w:rPr>
                <w:b/>
                <w:sz w:val="22"/>
                <w:szCs w:val="22"/>
              </w:rPr>
            </w:pPr>
            <w:r w:rsidRPr="00C76BE6">
              <w:rPr>
                <w:b/>
                <w:sz w:val="22"/>
                <w:szCs w:val="22"/>
              </w:rPr>
              <w:t>FINAL EXAM</w:t>
            </w:r>
          </w:p>
        </w:tc>
        <w:tc>
          <w:tcPr>
            <w:tcW w:w="4022" w:type="dxa"/>
          </w:tcPr>
          <w:p w:rsidR="00E7291E" w:rsidRPr="00C76BE6" w:rsidRDefault="00E7291E" w:rsidP="00E7291E">
            <w:pPr>
              <w:jc w:val="both"/>
              <w:rPr>
                <w:b/>
                <w:sz w:val="22"/>
                <w:szCs w:val="22"/>
              </w:rPr>
            </w:pPr>
            <w:r>
              <w:rPr>
                <w:b/>
                <w:sz w:val="22"/>
                <w:szCs w:val="22"/>
              </w:rPr>
              <w:t>11</w:t>
            </w:r>
            <w:r w:rsidRPr="00C76BE6">
              <w:rPr>
                <w:b/>
                <w:sz w:val="22"/>
                <w:szCs w:val="22"/>
              </w:rPr>
              <w:t xml:space="preserve">:00 </w:t>
            </w:r>
            <w:r>
              <w:rPr>
                <w:b/>
                <w:sz w:val="22"/>
                <w:szCs w:val="22"/>
              </w:rPr>
              <w:t>A.M.TO 1</w:t>
            </w:r>
            <w:r w:rsidRPr="00C76BE6">
              <w:rPr>
                <w:b/>
                <w:sz w:val="22"/>
                <w:szCs w:val="22"/>
              </w:rPr>
              <w:t>:00 P.M.</w:t>
            </w:r>
          </w:p>
        </w:tc>
      </w:tr>
    </w:tbl>
    <w:p w:rsidR="001158C2" w:rsidRPr="00E968AB" w:rsidRDefault="001158C2" w:rsidP="007852D7">
      <w:pPr>
        <w:jc w:val="both"/>
        <w:rPr>
          <w:sz w:val="22"/>
          <w:szCs w:val="22"/>
        </w:rPr>
      </w:pPr>
    </w:p>
    <w:sectPr w:rsidR="001158C2" w:rsidRPr="00E968AB" w:rsidSect="007852D7">
      <w:headerReference w:type="default" r:id="rId29"/>
      <w:footerReference w:type="even" r:id="rId30"/>
      <w:footerReference w:type="default" r:id="rId31"/>
      <w:pgSz w:w="12240" w:h="15840" w:code="1"/>
      <w:pgMar w:top="810" w:right="1728" w:bottom="720"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70" w:rsidRDefault="00AA6070">
      <w:r>
        <w:separator/>
      </w:r>
    </w:p>
  </w:endnote>
  <w:endnote w:type="continuationSeparator" w:id="0">
    <w:p w:rsidR="00AA6070" w:rsidRDefault="00AA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6" w:rsidRDefault="00BA7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346" w:rsidRDefault="00BA7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9142"/>
      <w:docPartObj>
        <w:docPartGallery w:val="Page Numbers (Bottom of Page)"/>
        <w:docPartUnique/>
      </w:docPartObj>
    </w:sdtPr>
    <w:sdtEndPr>
      <w:rPr>
        <w:noProof/>
      </w:rPr>
    </w:sdtEndPr>
    <w:sdtContent>
      <w:p w:rsidR="00C76BE6" w:rsidRDefault="00C76BE6">
        <w:pPr>
          <w:pStyle w:val="Footer"/>
          <w:jc w:val="center"/>
        </w:pPr>
        <w:r>
          <w:fldChar w:fldCharType="begin"/>
        </w:r>
        <w:r>
          <w:instrText xml:space="preserve"> PAGE   \* MERGEFORMAT </w:instrText>
        </w:r>
        <w:r>
          <w:fldChar w:fldCharType="separate"/>
        </w:r>
        <w:r w:rsidR="00E7291E">
          <w:rPr>
            <w:noProof/>
          </w:rPr>
          <w:t>7</w:t>
        </w:r>
        <w:r>
          <w:rPr>
            <w:noProof/>
          </w:rPr>
          <w:fldChar w:fldCharType="end"/>
        </w:r>
      </w:p>
    </w:sdtContent>
  </w:sdt>
  <w:p w:rsidR="00C76BE6" w:rsidRDefault="00C76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70" w:rsidRDefault="00AA6070">
      <w:r>
        <w:separator/>
      </w:r>
    </w:p>
  </w:footnote>
  <w:footnote w:type="continuationSeparator" w:id="0">
    <w:p w:rsidR="00AA6070" w:rsidRDefault="00AA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6" w:rsidRDefault="00BA7346">
    <w:pPr>
      <w:pStyle w:val="Header"/>
    </w:pPr>
  </w:p>
  <w:p w:rsidR="00BA7346" w:rsidRDefault="00BA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79623E"/>
    <w:multiLevelType w:val="hybridMultilevel"/>
    <w:tmpl w:val="2558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2">
    <w:nsid w:val="738212F5"/>
    <w:multiLevelType w:val="hybridMultilevel"/>
    <w:tmpl w:val="C626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44927"/>
    <w:multiLevelType w:val="hybridMultilevel"/>
    <w:tmpl w:val="4FB2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212A8"/>
    <w:multiLevelType w:val="hybridMultilevel"/>
    <w:tmpl w:val="E222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74FFC"/>
    <w:multiLevelType w:val="singleLevel"/>
    <w:tmpl w:val="0409000F"/>
    <w:lvl w:ilvl="0">
      <w:start w:val="1"/>
      <w:numFmt w:val="decimal"/>
      <w:lvlText w:val="%1."/>
      <w:lvlJc w:val="left"/>
      <w:pPr>
        <w:tabs>
          <w:tab w:val="num" w:pos="360"/>
        </w:tabs>
        <w:ind w:left="360" w:hanging="360"/>
      </w:pPr>
    </w:lvl>
  </w:abstractNum>
  <w:num w:numId="1">
    <w:abstractNumId w:val="25"/>
    <w:lvlOverride w:ilvl="0">
      <w:startOverride w:val="1"/>
    </w:lvlOverride>
  </w:num>
  <w:num w:numId="2">
    <w:abstractNumId w:val="20"/>
  </w:num>
  <w:num w:numId="3">
    <w:abstractNumId w:val="0"/>
  </w:num>
  <w:num w:numId="4">
    <w:abstractNumId w:val="5"/>
  </w:num>
  <w:num w:numId="5">
    <w:abstractNumId w:val="6"/>
  </w:num>
  <w:num w:numId="6">
    <w:abstractNumId w:val="16"/>
  </w:num>
  <w:num w:numId="7">
    <w:abstractNumId w:val="2"/>
  </w:num>
  <w:num w:numId="8">
    <w:abstractNumId w:val="15"/>
  </w:num>
  <w:num w:numId="9">
    <w:abstractNumId w:val="13"/>
  </w:num>
  <w:num w:numId="10">
    <w:abstractNumId w:val="10"/>
  </w:num>
  <w:num w:numId="11">
    <w:abstractNumId w:val="12"/>
  </w:num>
  <w:num w:numId="12">
    <w:abstractNumId w:val="1"/>
  </w:num>
  <w:num w:numId="13">
    <w:abstractNumId w:val="4"/>
  </w:num>
  <w:num w:numId="14">
    <w:abstractNumId w:val="8"/>
  </w:num>
  <w:num w:numId="15">
    <w:abstractNumId w:val="17"/>
  </w:num>
  <w:num w:numId="16">
    <w:abstractNumId w:val="7"/>
  </w:num>
  <w:num w:numId="17">
    <w:abstractNumId w:val="9"/>
  </w:num>
  <w:num w:numId="18">
    <w:abstractNumId w:val="19"/>
  </w:num>
  <w:num w:numId="19">
    <w:abstractNumId w:val="3"/>
  </w:num>
  <w:num w:numId="20">
    <w:abstractNumId w:val="21"/>
  </w:num>
  <w:num w:numId="21">
    <w:abstractNumId w:val="11"/>
  </w:num>
  <w:num w:numId="22">
    <w:abstractNumId w:val="18"/>
  </w:num>
  <w:num w:numId="23">
    <w:abstractNumId w:val="14"/>
  </w:num>
  <w:num w:numId="24">
    <w:abstractNumId w:val="23"/>
  </w:num>
  <w:num w:numId="25">
    <w:abstractNumId w:val="24"/>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4502"/>
    <w:rsid w:val="000046EB"/>
    <w:rsid w:val="00012504"/>
    <w:rsid w:val="00013B31"/>
    <w:rsid w:val="000148FF"/>
    <w:rsid w:val="0001548B"/>
    <w:rsid w:val="000335A7"/>
    <w:rsid w:val="000346B0"/>
    <w:rsid w:val="00035D65"/>
    <w:rsid w:val="00047AFE"/>
    <w:rsid w:val="000502F7"/>
    <w:rsid w:val="00056AAB"/>
    <w:rsid w:val="000574AC"/>
    <w:rsid w:val="000727DC"/>
    <w:rsid w:val="00073ABD"/>
    <w:rsid w:val="0007696C"/>
    <w:rsid w:val="000807A4"/>
    <w:rsid w:val="00082E53"/>
    <w:rsid w:val="00083145"/>
    <w:rsid w:val="000849F1"/>
    <w:rsid w:val="000918D9"/>
    <w:rsid w:val="00091D97"/>
    <w:rsid w:val="00094E13"/>
    <w:rsid w:val="00096A73"/>
    <w:rsid w:val="000A18D4"/>
    <w:rsid w:val="000A1E12"/>
    <w:rsid w:val="000A49FF"/>
    <w:rsid w:val="000A4B51"/>
    <w:rsid w:val="000B3057"/>
    <w:rsid w:val="000C2B7D"/>
    <w:rsid w:val="000C3C31"/>
    <w:rsid w:val="000C3EFD"/>
    <w:rsid w:val="000D11F5"/>
    <w:rsid w:val="000D169E"/>
    <w:rsid w:val="000D2396"/>
    <w:rsid w:val="000D2771"/>
    <w:rsid w:val="000D65F6"/>
    <w:rsid w:val="000E0210"/>
    <w:rsid w:val="000E1DDA"/>
    <w:rsid w:val="000E6707"/>
    <w:rsid w:val="000F0FC8"/>
    <w:rsid w:val="000F5141"/>
    <w:rsid w:val="000F5D4F"/>
    <w:rsid w:val="000F7663"/>
    <w:rsid w:val="00107C3C"/>
    <w:rsid w:val="001158C2"/>
    <w:rsid w:val="00116949"/>
    <w:rsid w:val="00117647"/>
    <w:rsid w:val="00121B58"/>
    <w:rsid w:val="0013032C"/>
    <w:rsid w:val="00134B5A"/>
    <w:rsid w:val="0014058C"/>
    <w:rsid w:val="00142C07"/>
    <w:rsid w:val="0014308A"/>
    <w:rsid w:val="00144EFB"/>
    <w:rsid w:val="00145B01"/>
    <w:rsid w:val="001467EB"/>
    <w:rsid w:val="00146EDD"/>
    <w:rsid w:val="001505B9"/>
    <w:rsid w:val="00150A3E"/>
    <w:rsid w:val="00150EE5"/>
    <w:rsid w:val="00151621"/>
    <w:rsid w:val="00152464"/>
    <w:rsid w:val="00153067"/>
    <w:rsid w:val="00153F60"/>
    <w:rsid w:val="0015489B"/>
    <w:rsid w:val="001611A7"/>
    <w:rsid w:val="0016658A"/>
    <w:rsid w:val="00166B1B"/>
    <w:rsid w:val="001717AC"/>
    <w:rsid w:val="00173C32"/>
    <w:rsid w:val="001743CC"/>
    <w:rsid w:val="0017496D"/>
    <w:rsid w:val="00180516"/>
    <w:rsid w:val="00181073"/>
    <w:rsid w:val="00184FF5"/>
    <w:rsid w:val="001854B9"/>
    <w:rsid w:val="00185CEE"/>
    <w:rsid w:val="00194304"/>
    <w:rsid w:val="0019502C"/>
    <w:rsid w:val="001A244B"/>
    <w:rsid w:val="001A40D1"/>
    <w:rsid w:val="001A44B8"/>
    <w:rsid w:val="001A563D"/>
    <w:rsid w:val="001A6555"/>
    <w:rsid w:val="001A721E"/>
    <w:rsid w:val="001B0AA3"/>
    <w:rsid w:val="001B1123"/>
    <w:rsid w:val="001B1FCD"/>
    <w:rsid w:val="001B266B"/>
    <w:rsid w:val="001C0D61"/>
    <w:rsid w:val="001C30FA"/>
    <w:rsid w:val="001C6D84"/>
    <w:rsid w:val="001C6F7A"/>
    <w:rsid w:val="001C70A7"/>
    <w:rsid w:val="001D0602"/>
    <w:rsid w:val="001D1264"/>
    <w:rsid w:val="001D75D5"/>
    <w:rsid w:val="001E4A6F"/>
    <w:rsid w:val="001F2568"/>
    <w:rsid w:val="001F4ABB"/>
    <w:rsid w:val="001F7A8C"/>
    <w:rsid w:val="002014F5"/>
    <w:rsid w:val="00212C7A"/>
    <w:rsid w:val="00215939"/>
    <w:rsid w:val="00231374"/>
    <w:rsid w:val="0024212C"/>
    <w:rsid w:val="002435D7"/>
    <w:rsid w:val="002469B7"/>
    <w:rsid w:val="00255013"/>
    <w:rsid w:val="00260FA0"/>
    <w:rsid w:val="00265327"/>
    <w:rsid w:val="00266198"/>
    <w:rsid w:val="00267E41"/>
    <w:rsid w:val="002708EB"/>
    <w:rsid w:val="002713A3"/>
    <w:rsid w:val="00286A1D"/>
    <w:rsid w:val="00292FC2"/>
    <w:rsid w:val="0029393F"/>
    <w:rsid w:val="00294216"/>
    <w:rsid w:val="0029596F"/>
    <w:rsid w:val="0029710F"/>
    <w:rsid w:val="00297AF4"/>
    <w:rsid w:val="002A2BE8"/>
    <w:rsid w:val="002A340D"/>
    <w:rsid w:val="002A6CED"/>
    <w:rsid w:val="002A6FFB"/>
    <w:rsid w:val="002A7CAF"/>
    <w:rsid w:val="002B038E"/>
    <w:rsid w:val="002B50E7"/>
    <w:rsid w:val="002C1BB1"/>
    <w:rsid w:val="002D0A34"/>
    <w:rsid w:val="002D1B24"/>
    <w:rsid w:val="002D5BC9"/>
    <w:rsid w:val="002D5F0A"/>
    <w:rsid w:val="002D6F9E"/>
    <w:rsid w:val="002E022B"/>
    <w:rsid w:val="002E1D19"/>
    <w:rsid w:val="002E29FA"/>
    <w:rsid w:val="002F1A72"/>
    <w:rsid w:val="002F1DBE"/>
    <w:rsid w:val="002F642D"/>
    <w:rsid w:val="00303AF5"/>
    <w:rsid w:val="00304328"/>
    <w:rsid w:val="00312777"/>
    <w:rsid w:val="00312B52"/>
    <w:rsid w:val="00317843"/>
    <w:rsid w:val="00320562"/>
    <w:rsid w:val="00320702"/>
    <w:rsid w:val="00322601"/>
    <w:rsid w:val="00323494"/>
    <w:rsid w:val="00336D04"/>
    <w:rsid w:val="003550D4"/>
    <w:rsid w:val="00361361"/>
    <w:rsid w:val="003631CE"/>
    <w:rsid w:val="0037695D"/>
    <w:rsid w:val="00381E30"/>
    <w:rsid w:val="003847B0"/>
    <w:rsid w:val="003859D9"/>
    <w:rsid w:val="00392384"/>
    <w:rsid w:val="003941CF"/>
    <w:rsid w:val="00394832"/>
    <w:rsid w:val="00395398"/>
    <w:rsid w:val="003A69CD"/>
    <w:rsid w:val="003C481B"/>
    <w:rsid w:val="003C6175"/>
    <w:rsid w:val="003C6A48"/>
    <w:rsid w:val="003D131D"/>
    <w:rsid w:val="003D6246"/>
    <w:rsid w:val="003D6324"/>
    <w:rsid w:val="003E07D6"/>
    <w:rsid w:val="003E36B4"/>
    <w:rsid w:val="003E6DC7"/>
    <w:rsid w:val="003E761F"/>
    <w:rsid w:val="003F1A30"/>
    <w:rsid w:val="003F637F"/>
    <w:rsid w:val="003F77E1"/>
    <w:rsid w:val="004024C0"/>
    <w:rsid w:val="004033E4"/>
    <w:rsid w:val="00404535"/>
    <w:rsid w:val="0040485B"/>
    <w:rsid w:val="00404A89"/>
    <w:rsid w:val="00404EB0"/>
    <w:rsid w:val="00405D59"/>
    <w:rsid w:val="0040649F"/>
    <w:rsid w:val="00412EC8"/>
    <w:rsid w:val="00423B7A"/>
    <w:rsid w:val="00427179"/>
    <w:rsid w:val="00427AFF"/>
    <w:rsid w:val="00430410"/>
    <w:rsid w:val="0043321A"/>
    <w:rsid w:val="00440838"/>
    <w:rsid w:val="00440B75"/>
    <w:rsid w:val="00446EDF"/>
    <w:rsid w:val="0044771C"/>
    <w:rsid w:val="00447DBE"/>
    <w:rsid w:val="00451262"/>
    <w:rsid w:val="00451AF6"/>
    <w:rsid w:val="00452547"/>
    <w:rsid w:val="0046031A"/>
    <w:rsid w:val="00462407"/>
    <w:rsid w:val="00465B93"/>
    <w:rsid w:val="00466EF0"/>
    <w:rsid w:val="00473654"/>
    <w:rsid w:val="00482438"/>
    <w:rsid w:val="00482561"/>
    <w:rsid w:val="00483609"/>
    <w:rsid w:val="0048445E"/>
    <w:rsid w:val="00485772"/>
    <w:rsid w:val="00490BC6"/>
    <w:rsid w:val="004A341F"/>
    <w:rsid w:val="004A7C57"/>
    <w:rsid w:val="004B09DE"/>
    <w:rsid w:val="004B200C"/>
    <w:rsid w:val="004B290D"/>
    <w:rsid w:val="004B6C74"/>
    <w:rsid w:val="004C5493"/>
    <w:rsid w:val="004C5C78"/>
    <w:rsid w:val="004C5E56"/>
    <w:rsid w:val="004D07A5"/>
    <w:rsid w:val="004D1FC1"/>
    <w:rsid w:val="004D28B4"/>
    <w:rsid w:val="004E2C05"/>
    <w:rsid w:val="004E5A42"/>
    <w:rsid w:val="00501348"/>
    <w:rsid w:val="00501376"/>
    <w:rsid w:val="0050589A"/>
    <w:rsid w:val="0051133C"/>
    <w:rsid w:val="00514EF4"/>
    <w:rsid w:val="005154E9"/>
    <w:rsid w:val="005200C1"/>
    <w:rsid w:val="00531AF7"/>
    <w:rsid w:val="005351AD"/>
    <w:rsid w:val="00545430"/>
    <w:rsid w:val="00545C45"/>
    <w:rsid w:val="0055068A"/>
    <w:rsid w:val="00551B98"/>
    <w:rsid w:val="005529A5"/>
    <w:rsid w:val="00555B9C"/>
    <w:rsid w:val="00557C3D"/>
    <w:rsid w:val="00565E00"/>
    <w:rsid w:val="00567684"/>
    <w:rsid w:val="00570432"/>
    <w:rsid w:val="0057145A"/>
    <w:rsid w:val="005714DA"/>
    <w:rsid w:val="00571F0D"/>
    <w:rsid w:val="00583B5A"/>
    <w:rsid w:val="00590CF6"/>
    <w:rsid w:val="00591E8F"/>
    <w:rsid w:val="00594BFC"/>
    <w:rsid w:val="005A5F83"/>
    <w:rsid w:val="005B3F81"/>
    <w:rsid w:val="005B6467"/>
    <w:rsid w:val="005C09A0"/>
    <w:rsid w:val="005C25D3"/>
    <w:rsid w:val="005C29A2"/>
    <w:rsid w:val="005C4AB3"/>
    <w:rsid w:val="005D5414"/>
    <w:rsid w:val="005D6371"/>
    <w:rsid w:val="005D6766"/>
    <w:rsid w:val="005D7EC8"/>
    <w:rsid w:val="005E4828"/>
    <w:rsid w:val="005E5942"/>
    <w:rsid w:val="005F03FA"/>
    <w:rsid w:val="005F1353"/>
    <w:rsid w:val="005F147A"/>
    <w:rsid w:val="005F5E8E"/>
    <w:rsid w:val="005F7F6A"/>
    <w:rsid w:val="00601B1D"/>
    <w:rsid w:val="00604F1A"/>
    <w:rsid w:val="00606850"/>
    <w:rsid w:val="00610C30"/>
    <w:rsid w:val="00614584"/>
    <w:rsid w:val="00614A2D"/>
    <w:rsid w:val="00615A29"/>
    <w:rsid w:val="00615C82"/>
    <w:rsid w:val="00616E34"/>
    <w:rsid w:val="00620FF0"/>
    <w:rsid w:val="00625D6B"/>
    <w:rsid w:val="006265A4"/>
    <w:rsid w:val="00631BA7"/>
    <w:rsid w:val="006358F2"/>
    <w:rsid w:val="0063673A"/>
    <w:rsid w:val="00637F3B"/>
    <w:rsid w:val="0064473C"/>
    <w:rsid w:val="00644BF1"/>
    <w:rsid w:val="00645EE4"/>
    <w:rsid w:val="00647301"/>
    <w:rsid w:val="00647E16"/>
    <w:rsid w:val="00656158"/>
    <w:rsid w:val="00656BEA"/>
    <w:rsid w:val="0066168A"/>
    <w:rsid w:val="00663FAC"/>
    <w:rsid w:val="006700B2"/>
    <w:rsid w:val="00671106"/>
    <w:rsid w:val="0067130A"/>
    <w:rsid w:val="006747CD"/>
    <w:rsid w:val="006821F3"/>
    <w:rsid w:val="006835A7"/>
    <w:rsid w:val="00687CA8"/>
    <w:rsid w:val="00690938"/>
    <w:rsid w:val="006914CC"/>
    <w:rsid w:val="006A0BFA"/>
    <w:rsid w:val="006A1ABD"/>
    <w:rsid w:val="006A7FF3"/>
    <w:rsid w:val="006B1DEB"/>
    <w:rsid w:val="006B70BD"/>
    <w:rsid w:val="006C5422"/>
    <w:rsid w:val="006C5B0C"/>
    <w:rsid w:val="006C600F"/>
    <w:rsid w:val="006C7843"/>
    <w:rsid w:val="006D08F2"/>
    <w:rsid w:val="006D1AD7"/>
    <w:rsid w:val="006D4097"/>
    <w:rsid w:val="006D4DEA"/>
    <w:rsid w:val="006D6E28"/>
    <w:rsid w:val="006E00A4"/>
    <w:rsid w:val="006E29F5"/>
    <w:rsid w:val="006E508A"/>
    <w:rsid w:val="006E5AB4"/>
    <w:rsid w:val="006F1491"/>
    <w:rsid w:val="006F1F42"/>
    <w:rsid w:val="006F3B3C"/>
    <w:rsid w:val="006F4217"/>
    <w:rsid w:val="006F5C79"/>
    <w:rsid w:val="00702EB9"/>
    <w:rsid w:val="00704BAA"/>
    <w:rsid w:val="00704D89"/>
    <w:rsid w:val="0070632A"/>
    <w:rsid w:val="00710BD2"/>
    <w:rsid w:val="007179B4"/>
    <w:rsid w:val="00723225"/>
    <w:rsid w:val="00724A89"/>
    <w:rsid w:val="00726189"/>
    <w:rsid w:val="00731039"/>
    <w:rsid w:val="00731FCD"/>
    <w:rsid w:val="007339F2"/>
    <w:rsid w:val="00734B85"/>
    <w:rsid w:val="007417A9"/>
    <w:rsid w:val="007431FA"/>
    <w:rsid w:val="00752AF6"/>
    <w:rsid w:val="0075730F"/>
    <w:rsid w:val="00763368"/>
    <w:rsid w:val="00763DDF"/>
    <w:rsid w:val="00767F7E"/>
    <w:rsid w:val="007744D9"/>
    <w:rsid w:val="00776747"/>
    <w:rsid w:val="00777BE4"/>
    <w:rsid w:val="00780215"/>
    <w:rsid w:val="00784048"/>
    <w:rsid w:val="007852D7"/>
    <w:rsid w:val="007866B2"/>
    <w:rsid w:val="007A2974"/>
    <w:rsid w:val="007A4416"/>
    <w:rsid w:val="007B1A02"/>
    <w:rsid w:val="007B1C09"/>
    <w:rsid w:val="007B33D1"/>
    <w:rsid w:val="007B5BEC"/>
    <w:rsid w:val="007C1032"/>
    <w:rsid w:val="007C26E2"/>
    <w:rsid w:val="007D2B3C"/>
    <w:rsid w:val="007D5B75"/>
    <w:rsid w:val="007F05E1"/>
    <w:rsid w:val="007F40C7"/>
    <w:rsid w:val="007F6FE1"/>
    <w:rsid w:val="00806E13"/>
    <w:rsid w:val="00806E9A"/>
    <w:rsid w:val="008146B4"/>
    <w:rsid w:val="00814F28"/>
    <w:rsid w:val="0082355B"/>
    <w:rsid w:val="00824550"/>
    <w:rsid w:val="008303BF"/>
    <w:rsid w:val="008333EF"/>
    <w:rsid w:val="008369AB"/>
    <w:rsid w:val="00840E9C"/>
    <w:rsid w:val="00843976"/>
    <w:rsid w:val="008454C1"/>
    <w:rsid w:val="008514C3"/>
    <w:rsid w:val="008516E6"/>
    <w:rsid w:val="00851A8B"/>
    <w:rsid w:val="00860322"/>
    <w:rsid w:val="0086060C"/>
    <w:rsid w:val="00862D4A"/>
    <w:rsid w:val="00873C4F"/>
    <w:rsid w:val="00873E67"/>
    <w:rsid w:val="008868F4"/>
    <w:rsid w:val="00892303"/>
    <w:rsid w:val="0089343E"/>
    <w:rsid w:val="00897440"/>
    <w:rsid w:val="00897BBB"/>
    <w:rsid w:val="008A07A0"/>
    <w:rsid w:val="008A7252"/>
    <w:rsid w:val="008B4D62"/>
    <w:rsid w:val="008B7A08"/>
    <w:rsid w:val="008C39CD"/>
    <w:rsid w:val="008D086A"/>
    <w:rsid w:val="008D425B"/>
    <w:rsid w:val="008D73A3"/>
    <w:rsid w:val="008E2119"/>
    <w:rsid w:val="008E5DD4"/>
    <w:rsid w:val="008E7F31"/>
    <w:rsid w:val="009156FF"/>
    <w:rsid w:val="00917F69"/>
    <w:rsid w:val="0092322F"/>
    <w:rsid w:val="009236CD"/>
    <w:rsid w:val="00930728"/>
    <w:rsid w:val="009352AB"/>
    <w:rsid w:val="00936F8E"/>
    <w:rsid w:val="00942321"/>
    <w:rsid w:val="00943434"/>
    <w:rsid w:val="00943625"/>
    <w:rsid w:val="00944814"/>
    <w:rsid w:val="00952EDD"/>
    <w:rsid w:val="00957FE8"/>
    <w:rsid w:val="009611F7"/>
    <w:rsid w:val="00962E19"/>
    <w:rsid w:val="00967D80"/>
    <w:rsid w:val="009711F7"/>
    <w:rsid w:val="00974EC7"/>
    <w:rsid w:val="009923F9"/>
    <w:rsid w:val="009A6743"/>
    <w:rsid w:val="009B565C"/>
    <w:rsid w:val="009B58EE"/>
    <w:rsid w:val="009C2744"/>
    <w:rsid w:val="009C51BE"/>
    <w:rsid w:val="009C648A"/>
    <w:rsid w:val="009D0FE2"/>
    <w:rsid w:val="009D6FCA"/>
    <w:rsid w:val="009E052F"/>
    <w:rsid w:val="009E23DB"/>
    <w:rsid w:val="009E555A"/>
    <w:rsid w:val="009E5DF3"/>
    <w:rsid w:val="009F3ED0"/>
    <w:rsid w:val="00A077A6"/>
    <w:rsid w:val="00A11968"/>
    <w:rsid w:val="00A208F1"/>
    <w:rsid w:val="00A223F3"/>
    <w:rsid w:val="00A27178"/>
    <w:rsid w:val="00A27ABE"/>
    <w:rsid w:val="00A27E7A"/>
    <w:rsid w:val="00A305CB"/>
    <w:rsid w:val="00A34353"/>
    <w:rsid w:val="00A350C9"/>
    <w:rsid w:val="00A43AFD"/>
    <w:rsid w:val="00A45CA2"/>
    <w:rsid w:val="00A4769D"/>
    <w:rsid w:val="00A47BBD"/>
    <w:rsid w:val="00A525AE"/>
    <w:rsid w:val="00A55F70"/>
    <w:rsid w:val="00A6345A"/>
    <w:rsid w:val="00A65233"/>
    <w:rsid w:val="00A6795A"/>
    <w:rsid w:val="00A72BA4"/>
    <w:rsid w:val="00A72DD0"/>
    <w:rsid w:val="00A777BF"/>
    <w:rsid w:val="00A77B99"/>
    <w:rsid w:val="00A84C98"/>
    <w:rsid w:val="00A85852"/>
    <w:rsid w:val="00A85B68"/>
    <w:rsid w:val="00A90E34"/>
    <w:rsid w:val="00A919BA"/>
    <w:rsid w:val="00A925AC"/>
    <w:rsid w:val="00A94305"/>
    <w:rsid w:val="00AA06CA"/>
    <w:rsid w:val="00AA138C"/>
    <w:rsid w:val="00AA6070"/>
    <w:rsid w:val="00AA677C"/>
    <w:rsid w:val="00AB2A6E"/>
    <w:rsid w:val="00AB3346"/>
    <w:rsid w:val="00AB7EB6"/>
    <w:rsid w:val="00AC1CBC"/>
    <w:rsid w:val="00AC76DF"/>
    <w:rsid w:val="00AD11D2"/>
    <w:rsid w:val="00AD14C7"/>
    <w:rsid w:val="00AD7756"/>
    <w:rsid w:val="00AE4F8B"/>
    <w:rsid w:val="00AF109A"/>
    <w:rsid w:val="00AF1605"/>
    <w:rsid w:val="00AF7866"/>
    <w:rsid w:val="00B00DF1"/>
    <w:rsid w:val="00B01D4B"/>
    <w:rsid w:val="00B02176"/>
    <w:rsid w:val="00B0341D"/>
    <w:rsid w:val="00B05785"/>
    <w:rsid w:val="00B06096"/>
    <w:rsid w:val="00B117F3"/>
    <w:rsid w:val="00B17E71"/>
    <w:rsid w:val="00B26188"/>
    <w:rsid w:val="00B278C2"/>
    <w:rsid w:val="00B33BB5"/>
    <w:rsid w:val="00B36E68"/>
    <w:rsid w:val="00B44D80"/>
    <w:rsid w:val="00B44E13"/>
    <w:rsid w:val="00B53083"/>
    <w:rsid w:val="00B55359"/>
    <w:rsid w:val="00B56062"/>
    <w:rsid w:val="00B57B38"/>
    <w:rsid w:val="00B61D12"/>
    <w:rsid w:val="00B61D60"/>
    <w:rsid w:val="00B657EB"/>
    <w:rsid w:val="00B706D4"/>
    <w:rsid w:val="00B756B3"/>
    <w:rsid w:val="00B75EFB"/>
    <w:rsid w:val="00B76CA7"/>
    <w:rsid w:val="00B80349"/>
    <w:rsid w:val="00B831D4"/>
    <w:rsid w:val="00B8384E"/>
    <w:rsid w:val="00B87398"/>
    <w:rsid w:val="00B873E7"/>
    <w:rsid w:val="00B91C7E"/>
    <w:rsid w:val="00B9235A"/>
    <w:rsid w:val="00B96A1A"/>
    <w:rsid w:val="00B97B1B"/>
    <w:rsid w:val="00BA1741"/>
    <w:rsid w:val="00BA7346"/>
    <w:rsid w:val="00BB35AD"/>
    <w:rsid w:val="00BB5F60"/>
    <w:rsid w:val="00BC0417"/>
    <w:rsid w:val="00BC393D"/>
    <w:rsid w:val="00BC5616"/>
    <w:rsid w:val="00BC5AD3"/>
    <w:rsid w:val="00BC607C"/>
    <w:rsid w:val="00BC7EED"/>
    <w:rsid w:val="00BD1F26"/>
    <w:rsid w:val="00BD312C"/>
    <w:rsid w:val="00BD4F14"/>
    <w:rsid w:val="00BE29FB"/>
    <w:rsid w:val="00BE5E33"/>
    <w:rsid w:val="00C07499"/>
    <w:rsid w:val="00C07518"/>
    <w:rsid w:val="00C10C35"/>
    <w:rsid w:val="00C13319"/>
    <w:rsid w:val="00C1465F"/>
    <w:rsid w:val="00C26169"/>
    <w:rsid w:val="00C42B03"/>
    <w:rsid w:val="00C47217"/>
    <w:rsid w:val="00C47F75"/>
    <w:rsid w:val="00C51791"/>
    <w:rsid w:val="00C5604A"/>
    <w:rsid w:val="00C61899"/>
    <w:rsid w:val="00C64686"/>
    <w:rsid w:val="00C648B5"/>
    <w:rsid w:val="00C67474"/>
    <w:rsid w:val="00C73CFF"/>
    <w:rsid w:val="00C76BE6"/>
    <w:rsid w:val="00C811DB"/>
    <w:rsid w:val="00C82EDE"/>
    <w:rsid w:val="00C85F12"/>
    <w:rsid w:val="00C87B8F"/>
    <w:rsid w:val="00C91A2E"/>
    <w:rsid w:val="00C92A99"/>
    <w:rsid w:val="00C93E55"/>
    <w:rsid w:val="00C974D1"/>
    <w:rsid w:val="00CA2FB3"/>
    <w:rsid w:val="00CA3252"/>
    <w:rsid w:val="00CA353A"/>
    <w:rsid w:val="00CA5AE3"/>
    <w:rsid w:val="00CA5BB8"/>
    <w:rsid w:val="00CA7D5A"/>
    <w:rsid w:val="00CA7DAA"/>
    <w:rsid w:val="00CB62E7"/>
    <w:rsid w:val="00CB6A45"/>
    <w:rsid w:val="00CD50B2"/>
    <w:rsid w:val="00CE57E4"/>
    <w:rsid w:val="00CE5965"/>
    <w:rsid w:val="00CF11B9"/>
    <w:rsid w:val="00CF4725"/>
    <w:rsid w:val="00D02DB7"/>
    <w:rsid w:val="00D03206"/>
    <w:rsid w:val="00D05746"/>
    <w:rsid w:val="00D1558A"/>
    <w:rsid w:val="00D169CB"/>
    <w:rsid w:val="00D2031B"/>
    <w:rsid w:val="00D218D9"/>
    <w:rsid w:val="00D21B70"/>
    <w:rsid w:val="00D2255D"/>
    <w:rsid w:val="00D26928"/>
    <w:rsid w:val="00D363B2"/>
    <w:rsid w:val="00D43006"/>
    <w:rsid w:val="00D46129"/>
    <w:rsid w:val="00D4693C"/>
    <w:rsid w:val="00D532F9"/>
    <w:rsid w:val="00D5372A"/>
    <w:rsid w:val="00D548D2"/>
    <w:rsid w:val="00D57BE0"/>
    <w:rsid w:val="00D60739"/>
    <w:rsid w:val="00D636BC"/>
    <w:rsid w:val="00D64713"/>
    <w:rsid w:val="00D70F7D"/>
    <w:rsid w:val="00D802DD"/>
    <w:rsid w:val="00D82B02"/>
    <w:rsid w:val="00D82E53"/>
    <w:rsid w:val="00D87B0A"/>
    <w:rsid w:val="00D9072D"/>
    <w:rsid w:val="00D9152D"/>
    <w:rsid w:val="00D91B29"/>
    <w:rsid w:val="00D94FC9"/>
    <w:rsid w:val="00DA43A6"/>
    <w:rsid w:val="00DA71AC"/>
    <w:rsid w:val="00DB25A2"/>
    <w:rsid w:val="00DB3461"/>
    <w:rsid w:val="00DB3A54"/>
    <w:rsid w:val="00DB46BE"/>
    <w:rsid w:val="00DB5543"/>
    <w:rsid w:val="00DB7AE6"/>
    <w:rsid w:val="00DC0787"/>
    <w:rsid w:val="00DC1399"/>
    <w:rsid w:val="00DC1867"/>
    <w:rsid w:val="00DC587D"/>
    <w:rsid w:val="00DD143A"/>
    <w:rsid w:val="00DE0C3B"/>
    <w:rsid w:val="00DE205E"/>
    <w:rsid w:val="00DE6121"/>
    <w:rsid w:val="00DE7C8D"/>
    <w:rsid w:val="00DF2B89"/>
    <w:rsid w:val="00DF3558"/>
    <w:rsid w:val="00DF57AC"/>
    <w:rsid w:val="00DF6405"/>
    <w:rsid w:val="00DF6F13"/>
    <w:rsid w:val="00E018DB"/>
    <w:rsid w:val="00E02F89"/>
    <w:rsid w:val="00E03E69"/>
    <w:rsid w:val="00E071CE"/>
    <w:rsid w:val="00E11CC7"/>
    <w:rsid w:val="00E12172"/>
    <w:rsid w:val="00E153B9"/>
    <w:rsid w:val="00E178B1"/>
    <w:rsid w:val="00E17C02"/>
    <w:rsid w:val="00E306A4"/>
    <w:rsid w:val="00E34381"/>
    <w:rsid w:val="00E40029"/>
    <w:rsid w:val="00E41BB0"/>
    <w:rsid w:val="00E42BDA"/>
    <w:rsid w:val="00E4614D"/>
    <w:rsid w:val="00E4764D"/>
    <w:rsid w:val="00E62752"/>
    <w:rsid w:val="00E64FFA"/>
    <w:rsid w:val="00E7291E"/>
    <w:rsid w:val="00E7429A"/>
    <w:rsid w:val="00E764A6"/>
    <w:rsid w:val="00E766D9"/>
    <w:rsid w:val="00E93BC3"/>
    <w:rsid w:val="00E94479"/>
    <w:rsid w:val="00E968AB"/>
    <w:rsid w:val="00EA70FB"/>
    <w:rsid w:val="00EA7CC6"/>
    <w:rsid w:val="00EB15C9"/>
    <w:rsid w:val="00EB34B5"/>
    <w:rsid w:val="00EB528A"/>
    <w:rsid w:val="00EC06DE"/>
    <w:rsid w:val="00EC1D48"/>
    <w:rsid w:val="00EC3A9D"/>
    <w:rsid w:val="00EC437E"/>
    <w:rsid w:val="00EC6161"/>
    <w:rsid w:val="00ED14FF"/>
    <w:rsid w:val="00ED1CEF"/>
    <w:rsid w:val="00EE353E"/>
    <w:rsid w:val="00EE41C6"/>
    <w:rsid w:val="00EE4949"/>
    <w:rsid w:val="00EE4C3C"/>
    <w:rsid w:val="00EE5177"/>
    <w:rsid w:val="00EE5676"/>
    <w:rsid w:val="00EE78F0"/>
    <w:rsid w:val="00EF1F16"/>
    <w:rsid w:val="00EF5BA4"/>
    <w:rsid w:val="00F04A7B"/>
    <w:rsid w:val="00F135D5"/>
    <w:rsid w:val="00F21E1E"/>
    <w:rsid w:val="00F24FF9"/>
    <w:rsid w:val="00F26D03"/>
    <w:rsid w:val="00F27D5F"/>
    <w:rsid w:val="00F27F64"/>
    <w:rsid w:val="00F30D25"/>
    <w:rsid w:val="00F32E61"/>
    <w:rsid w:val="00F34E20"/>
    <w:rsid w:val="00F41C92"/>
    <w:rsid w:val="00F435E4"/>
    <w:rsid w:val="00F43822"/>
    <w:rsid w:val="00F444D3"/>
    <w:rsid w:val="00F44EB9"/>
    <w:rsid w:val="00F46D32"/>
    <w:rsid w:val="00F526F7"/>
    <w:rsid w:val="00F527F5"/>
    <w:rsid w:val="00F55DE9"/>
    <w:rsid w:val="00F620CE"/>
    <w:rsid w:val="00F644AE"/>
    <w:rsid w:val="00F6721E"/>
    <w:rsid w:val="00F70DBF"/>
    <w:rsid w:val="00F807A2"/>
    <w:rsid w:val="00F9122F"/>
    <w:rsid w:val="00F9320C"/>
    <w:rsid w:val="00F95336"/>
    <w:rsid w:val="00FA0495"/>
    <w:rsid w:val="00FB43B3"/>
    <w:rsid w:val="00FC5A40"/>
    <w:rsid w:val="00FD05C7"/>
    <w:rsid w:val="00FD23C2"/>
    <w:rsid w:val="00FD6A9E"/>
    <w:rsid w:val="00FE338B"/>
    <w:rsid w:val="00FE7A7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EE4542-39CC-4688-8E61-02A68F27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apple-converted-space">
    <w:name w:val="apple-converted-space"/>
    <w:basedOn w:val="DefaultParagraphFont"/>
    <w:rsid w:val="00B2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3644">
      <w:bodyDiv w:val="1"/>
      <w:marLeft w:val="0"/>
      <w:marRight w:val="0"/>
      <w:marTop w:val="0"/>
      <w:marBottom w:val="0"/>
      <w:divBdr>
        <w:top w:val="none" w:sz="0" w:space="0" w:color="auto"/>
        <w:left w:val="none" w:sz="0" w:space="0" w:color="auto"/>
        <w:bottom w:val="none" w:sz="0" w:space="0" w:color="auto"/>
        <w:right w:val="none" w:sz="0" w:space="0" w:color="auto"/>
      </w:divBdr>
    </w:div>
    <w:div w:id="995916458">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edu/student-affairs/SJACS/" TargetMode="External"/><Relationship Id="rId18" Type="http://schemas.openxmlformats.org/officeDocument/2006/relationships/hyperlink" Target="https://engemannshc.usc.edu/counseling/"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arc.usc.edu/" TargetMode="Externa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yperlink" Target="http://policy.usc.edu/scientific-misconduct/" TargetMode="External"/><Relationship Id="rId25" Type="http://schemas.openxmlformats.org/officeDocument/2006/relationships/hyperlink" Target="https://diversit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engemannshc.usc.edu/rsv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24" Type="http://schemas.openxmlformats.org/officeDocument/2006/relationships/hyperlink" Target="https://studentaffairs.usc.edu/ss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dept/ARR/grades/index.html" TargetMode="External"/><Relationship Id="rId23" Type="http://schemas.openxmlformats.org/officeDocument/2006/relationships/hyperlink" Target="https://studentaffairs.usc.edu/bias-assessment-response-support/" TargetMode="External"/><Relationship Id="rId28" Type="http://schemas.openxmlformats.org/officeDocument/2006/relationships/hyperlink" Target="http://www.usc.edu/disability" TargetMode="External"/><Relationship Id="rId10" Type="http://schemas.openxmlformats.org/officeDocument/2006/relationships/hyperlink" Target="http://info.marshall.usc.edu/faculty/critthink/Pages/default.aspx" TargetMode="External"/><Relationship Id="rId19" Type="http://schemas.openxmlformats.org/officeDocument/2006/relationships/hyperlink" Target="http://www.suicidepreventionlifeline.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bsp.harvard.edu/import/651190" TargetMode="External"/><Relationship Id="rId14" Type="http://schemas.openxmlformats.org/officeDocument/2006/relationships/hyperlink" Target="http://blackboard.usc.edu/" TargetMode="External"/><Relationship Id="rId22" Type="http://schemas.openxmlformats.org/officeDocument/2006/relationships/hyperlink" Target="https://equity.usc.edu/" TargetMode="External"/><Relationship Id="rId27" Type="http://schemas.openxmlformats.org/officeDocument/2006/relationships/hyperlink" Target="http://dps.usc.edu/"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1C83-81FA-4166-AE29-9CDD23CB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22310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Coombs, Michael</cp:lastModifiedBy>
  <cp:revision>18</cp:revision>
  <cp:lastPrinted>2019-08-06T21:43:00Z</cp:lastPrinted>
  <dcterms:created xsi:type="dcterms:W3CDTF">2019-08-01T20:54:00Z</dcterms:created>
  <dcterms:modified xsi:type="dcterms:W3CDTF">2019-08-17T01:08:00Z</dcterms:modified>
</cp:coreProperties>
</file>