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1EF1728C" wp14:editId="2FC431F6">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rsidR="00FE4150" w:rsidRDefault="00FE4150" w:rsidP="009852A9">
      <w:pPr>
        <w:spacing w:before="100"/>
        <w:jc w:val="center"/>
        <w:rPr>
          <w:b/>
          <w:bCs/>
          <w:sz w:val="32"/>
          <w:szCs w:val="32"/>
        </w:rPr>
      </w:pPr>
    </w:p>
    <w:p w:rsidR="00FE4150" w:rsidRDefault="008E5906" w:rsidP="008E5906">
      <w:pPr>
        <w:tabs>
          <w:tab w:val="left" w:pos="1260"/>
        </w:tabs>
        <w:spacing w:before="100"/>
        <w:rPr>
          <w:b/>
          <w:bCs/>
          <w:sz w:val="32"/>
          <w:szCs w:val="32"/>
        </w:rPr>
      </w:pPr>
      <w:r>
        <w:rPr>
          <w:b/>
          <w:bCs/>
          <w:sz w:val="32"/>
          <w:szCs w:val="32"/>
        </w:rPr>
        <w:tab/>
      </w:r>
    </w:p>
    <w:p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rsidR="001A723E" w:rsidRPr="001A723E" w:rsidRDefault="00C8227D" w:rsidP="001A723E">
      <w:pPr>
        <w:jc w:val="center"/>
        <w:rPr>
          <w:rFonts w:ascii="Times New Roman" w:eastAsia="Times New Roman" w:hAnsi="Times New Roman" w:cs="Times New Roman"/>
          <w:sz w:val="24"/>
          <w:szCs w:val="24"/>
        </w:rPr>
      </w:pPr>
      <w:r>
        <w:rPr>
          <w:b/>
          <w:bCs/>
          <w:sz w:val="32"/>
          <w:szCs w:val="32"/>
        </w:rPr>
        <w:t>Section #</w:t>
      </w:r>
      <w:r w:rsidR="001A723E" w:rsidRPr="001A723E">
        <w:rPr>
          <w:rFonts w:ascii="helvetica neue" w:eastAsia="Times New Roman" w:hAnsi="helvetica neue" w:cs="Times New Roman"/>
          <w:color w:val="000000"/>
          <w:sz w:val="24"/>
          <w:szCs w:val="24"/>
          <w:shd w:val="clear" w:color="auto" w:fill="FFFFFF"/>
        </w:rPr>
        <w:t>60425</w:t>
      </w:r>
      <w:r w:rsidR="001A723E">
        <w:rPr>
          <w:rFonts w:ascii="helvetica neue" w:eastAsia="Times New Roman" w:hAnsi="helvetica neue" w:cs="Times New Roman"/>
          <w:color w:val="000000"/>
          <w:sz w:val="24"/>
          <w:szCs w:val="24"/>
          <w:shd w:val="clear" w:color="auto" w:fill="FFFFFF"/>
        </w:rPr>
        <w:t xml:space="preserve"> and 60888</w:t>
      </w:r>
    </w:p>
    <w:p w:rsidR="00C8227D" w:rsidRDefault="00C8227D" w:rsidP="00C8227D">
      <w:pPr>
        <w:spacing w:after="0"/>
        <w:jc w:val="center"/>
        <w:rPr>
          <w:b/>
          <w:bCs/>
          <w:sz w:val="32"/>
          <w:szCs w:val="32"/>
        </w:rPr>
      </w:pPr>
    </w:p>
    <w:p w:rsidR="00C8227D" w:rsidRPr="0082222D" w:rsidRDefault="00C8227D" w:rsidP="00C8227D">
      <w:pPr>
        <w:spacing w:after="0"/>
        <w:jc w:val="center"/>
        <w:rPr>
          <w:b/>
          <w:bCs/>
          <w:sz w:val="32"/>
          <w:szCs w:val="32"/>
        </w:rPr>
      </w:pPr>
    </w:p>
    <w:p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bookmarkStart w:id="0" w:name="_GoBack"/>
      <w:bookmarkEnd w:id="0"/>
    </w:p>
    <w:p w:rsidR="000D616F" w:rsidRPr="0082222D" w:rsidRDefault="000D616F" w:rsidP="0082222D">
      <w:pPr>
        <w:widowControl w:val="0"/>
        <w:ind w:left="1080"/>
        <w:rPr>
          <w:rFonts w:asciiTheme="majorHAnsi" w:eastAsia="Times New Roman" w:hAnsiTheme="majorHAnsi" w:cs="Arial"/>
          <w:i/>
          <w:color w:val="808080" w:themeColor="background1" w:themeShade="80"/>
        </w:rPr>
      </w:pPr>
      <w:r w:rsidRPr="0082222D">
        <w:rPr>
          <w:rFonts w:asciiTheme="majorHAnsi" w:eastAsia="Times New Roman" w:hAnsiTheme="majorHAnsi" w:cs="Arial"/>
          <w:i/>
          <w:color w:val="808080" w:themeColor="background1" w:themeShade="80"/>
        </w:rPr>
        <w:t xml:space="preserve">The purpose of the social work profession is to promote human and community well-being.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Guided by a person-in-environment framework, a global perspective, respect for human </w:t>
      </w:r>
      <w:proofErr w:type="gramStart"/>
      <w:r w:rsidRPr="0082222D">
        <w:rPr>
          <w:rFonts w:asciiTheme="majorHAnsi" w:eastAsia="Times New Roman" w:hAnsiTheme="majorHAnsi" w:cs="Arial"/>
          <w:i/>
          <w:color w:val="808080" w:themeColor="background1" w:themeShade="80"/>
        </w:rPr>
        <w:t xml:space="preserve">diversity, </w:t>
      </w:r>
      <w:r w:rsidR="00C35B39" w:rsidRPr="0082222D">
        <w:rPr>
          <w:rFonts w:asciiTheme="majorHAnsi" w:eastAsia="Times New Roman" w:hAnsiTheme="majorHAnsi" w:cs="Arial"/>
          <w:i/>
          <w:color w:val="808080" w:themeColor="background1" w:themeShade="80"/>
        </w:rPr>
        <w:t xml:space="preserve">  </w:t>
      </w:r>
      <w:proofErr w:type="gramEnd"/>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and knowledge based on scientific inquiry, the purpose of social work is actualized through its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quest for social and economic justice, the prevention of conditions that limit human rights, the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elimination of poverty, and the enhancement of the quality of life for all persons, locally and globally.</w:t>
      </w:r>
    </w:p>
    <w:p w:rsidR="000D616F" w:rsidRPr="0082222D" w:rsidRDefault="000D616F" w:rsidP="000D616F">
      <w:pPr>
        <w:pStyle w:val="ListParagraph"/>
        <w:numPr>
          <w:ilvl w:val="0"/>
          <w:numId w:val="23"/>
        </w:numPr>
        <w:spacing w:after="0" w:line="240" w:lineRule="auto"/>
        <w:rPr>
          <w:rFonts w:asciiTheme="majorHAnsi" w:eastAsia="Times New Roman" w:hAnsiTheme="majorHAnsi" w:cs="Arial"/>
          <w:color w:val="808080" w:themeColor="background1" w:themeShade="80"/>
        </w:rPr>
      </w:pPr>
      <w:r w:rsidRPr="0082222D">
        <w:rPr>
          <w:rFonts w:asciiTheme="majorHAnsi" w:eastAsia="Times New Roman" w:hAnsiTheme="majorHAnsi" w:cs="Arial"/>
          <w:color w:val="808080" w:themeColor="background1" w:themeShade="80"/>
        </w:rPr>
        <w:t>Council on Social Work Education, March 2015</w:t>
      </w:r>
    </w:p>
    <w:p w:rsidR="000D616F" w:rsidRPr="009852A9" w:rsidRDefault="000D616F" w:rsidP="009852A9">
      <w:pPr>
        <w:jc w:val="center"/>
        <w:rPr>
          <w:b/>
          <w:bCs/>
          <w:color w:val="C00000"/>
          <w:sz w:val="24"/>
          <w:szCs w:val="24"/>
        </w:rPr>
      </w:pPr>
    </w:p>
    <w:tbl>
      <w:tblPr>
        <w:tblW w:w="9918" w:type="dxa"/>
        <w:tblInd w:w="1440" w:type="dxa"/>
        <w:tblLook w:val="04A0" w:firstRow="1" w:lastRow="0" w:firstColumn="1" w:lastColumn="0" w:noHBand="0" w:noVBand="1"/>
      </w:tblPr>
      <w:tblGrid>
        <w:gridCol w:w="2168"/>
        <w:gridCol w:w="2991"/>
        <w:gridCol w:w="1988"/>
        <w:gridCol w:w="2771"/>
      </w:tblGrid>
      <w:tr w:rsidR="009852A9" w:rsidRPr="009852A9" w:rsidTr="0082222D">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3A0ADD">
              <w:rPr>
                <w:b/>
                <w:bCs/>
                <w:sz w:val="24"/>
                <w:szCs w:val="24"/>
              </w:rPr>
              <w:t>William Feuerborn, DSW, LCSW</w:t>
            </w:r>
          </w:p>
        </w:tc>
        <w:tc>
          <w:tcPr>
            <w:tcW w:w="8298" w:type="dxa"/>
            <w:gridSpan w:val="3"/>
          </w:tcPr>
          <w:p w:rsidR="009852A9" w:rsidRPr="009852A9" w:rsidRDefault="009852A9" w:rsidP="00A116A1">
            <w:pPr>
              <w:tabs>
                <w:tab w:val="left" w:pos="1620"/>
              </w:tabs>
              <w:rPr>
                <w:bCs/>
                <w:sz w:val="24"/>
                <w:szCs w:val="24"/>
              </w:rPr>
            </w:pPr>
          </w:p>
        </w:tc>
      </w:tr>
      <w:tr w:rsidR="009852A9" w:rsidRPr="009852A9" w:rsidTr="0082222D">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E-Mail: </w:t>
            </w:r>
            <w:r w:rsidR="003A0ADD">
              <w:rPr>
                <w:b/>
                <w:bCs/>
                <w:sz w:val="24"/>
                <w:szCs w:val="24"/>
              </w:rPr>
              <w:t>wfeuerbo@usc.edu</w:t>
            </w:r>
          </w:p>
        </w:tc>
        <w:tc>
          <w:tcPr>
            <w:tcW w:w="3258" w:type="dxa"/>
          </w:tcPr>
          <w:p w:rsidR="009852A9" w:rsidRPr="009852A9" w:rsidRDefault="009852A9" w:rsidP="00A116A1">
            <w:pPr>
              <w:tabs>
                <w:tab w:val="left" w:pos="1620"/>
              </w:tabs>
              <w:rPr>
                <w:bCs/>
                <w:sz w:val="24"/>
                <w:szCs w:val="24"/>
              </w:rPr>
            </w:pP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r w:rsidR="003A0ADD">
              <w:rPr>
                <w:b/>
                <w:bCs/>
                <w:sz w:val="24"/>
                <w:szCs w:val="24"/>
              </w:rPr>
              <w:t xml:space="preserve"> Tuesdays</w:t>
            </w:r>
          </w:p>
        </w:tc>
        <w:tc>
          <w:tcPr>
            <w:tcW w:w="2970" w:type="dxa"/>
          </w:tcPr>
          <w:p w:rsidR="009852A9" w:rsidRPr="009852A9" w:rsidRDefault="009852A9" w:rsidP="00A116A1">
            <w:pPr>
              <w:tabs>
                <w:tab w:val="left" w:pos="1620"/>
              </w:tabs>
              <w:rPr>
                <w:bCs/>
                <w:sz w:val="24"/>
                <w:szCs w:val="24"/>
              </w:rPr>
            </w:pPr>
          </w:p>
        </w:tc>
      </w:tr>
      <w:tr w:rsidR="009852A9" w:rsidRPr="009852A9" w:rsidTr="0082222D">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r w:rsidR="003A0ADD">
              <w:rPr>
                <w:b/>
                <w:bCs/>
                <w:sz w:val="24"/>
                <w:szCs w:val="24"/>
              </w:rPr>
              <w:t xml:space="preserve"> 760.285.9888</w:t>
            </w:r>
          </w:p>
        </w:tc>
        <w:tc>
          <w:tcPr>
            <w:tcW w:w="3258" w:type="dxa"/>
          </w:tcPr>
          <w:p w:rsidR="009852A9" w:rsidRPr="009852A9" w:rsidRDefault="009852A9" w:rsidP="00A116A1">
            <w:pPr>
              <w:tabs>
                <w:tab w:val="left" w:pos="1620"/>
              </w:tabs>
              <w:rPr>
                <w:bCs/>
                <w:sz w:val="24"/>
                <w:szCs w:val="24"/>
              </w:rPr>
            </w:pP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003A0ADD">
              <w:rPr>
                <w:b/>
                <w:bCs/>
                <w:sz w:val="24"/>
                <w:szCs w:val="24"/>
              </w:rPr>
              <w:t xml:space="preserve"> 4:10 – 7:00 p.m. or 7:10 – 10:00 p.m.</w:t>
            </w:r>
          </w:p>
        </w:tc>
        <w:tc>
          <w:tcPr>
            <w:tcW w:w="2970" w:type="dxa"/>
          </w:tcPr>
          <w:p w:rsidR="009852A9" w:rsidRPr="009852A9" w:rsidRDefault="009852A9" w:rsidP="00A116A1">
            <w:pPr>
              <w:tabs>
                <w:tab w:val="left" w:pos="1620"/>
              </w:tabs>
              <w:rPr>
                <w:bCs/>
                <w:sz w:val="24"/>
                <w:szCs w:val="24"/>
              </w:rPr>
            </w:pPr>
          </w:p>
        </w:tc>
      </w:tr>
      <w:tr w:rsidR="009852A9" w:rsidRPr="009852A9" w:rsidTr="0082222D">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r w:rsidR="0060060E">
              <w:rPr>
                <w:b/>
                <w:bCs/>
                <w:sz w:val="24"/>
                <w:szCs w:val="24"/>
              </w:rPr>
              <w:t>102 M</w:t>
            </w:r>
          </w:p>
        </w:tc>
        <w:tc>
          <w:tcPr>
            <w:tcW w:w="3258" w:type="dxa"/>
          </w:tcPr>
          <w:p w:rsidR="009852A9" w:rsidRPr="009852A9" w:rsidRDefault="009852A9" w:rsidP="00A116A1">
            <w:pPr>
              <w:tabs>
                <w:tab w:val="left" w:pos="1620"/>
              </w:tabs>
              <w:rPr>
                <w:bCs/>
                <w:sz w:val="24"/>
                <w:szCs w:val="24"/>
              </w:rPr>
            </w:pP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r w:rsidR="003A0ADD">
              <w:rPr>
                <w:b/>
                <w:bCs/>
                <w:sz w:val="24"/>
                <w:szCs w:val="24"/>
              </w:rPr>
              <w:t xml:space="preserve"> </w:t>
            </w:r>
          </w:p>
        </w:tc>
        <w:tc>
          <w:tcPr>
            <w:tcW w:w="2970" w:type="dxa"/>
            <w:vMerge w:val="restart"/>
          </w:tcPr>
          <w:p w:rsidR="0060060E" w:rsidRDefault="0060060E" w:rsidP="0060060E">
            <w:pPr>
              <w:rPr>
                <w:rFonts w:ascii="helvetica neue" w:hAnsi="helvetica neue"/>
                <w:color w:val="000000"/>
                <w:shd w:val="clear" w:color="auto" w:fill="FFFFFF"/>
              </w:rPr>
            </w:pPr>
            <w:r>
              <w:rPr>
                <w:bCs/>
                <w:sz w:val="24"/>
                <w:szCs w:val="24"/>
              </w:rPr>
              <w:t xml:space="preserve">4:10 in WPH </w:t>
            </w:r>
            <w:r>
              <w:rPr>
                <w:rFonts w:ascii="helvetica neue" w:hAnsi="helvetica neue"/>
                <w:color w:val="000000"/>
                <w:shd w:val="clear" w:color="auto" w:fill="FFFFFF"/>
              </w:rPr>
              <w:t>B26</w:t>
            </w:r>
          </w:p>
          <w:p w:rsidR="0060060E" w:rsidRDefault="0060060E" w:rsidP="0060060E">
            <w:r>
              <w:rPr>
                <w:rFonts w:ascii="helvetica neue" w:hAnsi="helvetica neue"/>
                <w:color w:val="000000"/>
                <w:shd w:val="clear" w:color="auto" w:fill="FFFFFF"/>
              </w:rPr>
              <w:t>7:10 in SOS B41</w:t>
            </w:r>
          </w:p>
          <w:p w:rsidR="009852A9" w:rsidRPr="009852A9" w:rsidRDefault="009852A9" w:rsidP="00A116A1">
            <w:pPr>
              <w:tabs>
                <w:tab w:val="left" w:pos="1620"/>
              </w:tabs>
              <w:rPr>
                <w:bCs/>
                <w:sz w:val="24"/>
                <w:szCs w:val="24"/>
              </w:rPr>
            </w:pPr>
          </w:p>
        </w:tc>
      </w:tr>
      <w:tr w:rsidR="009852A9" w:rsidRPr="009852A9" w:rsidTr="0082222D">
        <w:trPr>
          <w:cantSplit/>
        </w:trPr>
        <w:tc>
          <w:tcPr>
            <w:tcW w:w="1620" w:type="dxa"/>
          </w:tcPr>
          <w:p w:rsidR="0060060E" w:rsidRDefault="009852A9" w:rsidP="00A116A1">
            <w:pPr>
              <w:tabs>
                <w:tab w:val="left" w:pos="1620"/>
              </w:tabs>
              <w:rPr>
                <w:b/>
                <w:bCs/>
                <w:sz w:val="24"/>
                <w:szCs w:val="24"/>
              </w:rPr>
            </w:pPr>
            <w:r w:rsidRPr="009852A9">
              <w:rPr>
                <w:b/>
                <w:bCs/>
                <w:sz w:val="24"/>
                <w:szCs w:val="24"/>
              </w:rPr>
              <w:t>Office Hours:</w:t>
            </w:r>
            <w:r w:rsidR="0060060E">
              <w:rPr>
                <w:b/>
                <w:bCs/>
                <w:sz w:val="24"/>
                <w:szCs w:val="24"/>
              </w:rPr>
              <w:t xml:space="preserve"> </w:t>
            </w:r>
          </w:p>
          <w:p w:rsidR="009852A9" w:rsidRPr="009852A9" w:rsidRDefault="0060060E" w:rsidP="00A116A1">
            <w:pPr>
              <w:tabs>
                <w:tab w:val="left" w:pos="1620"/>
              </w:tabs>
              <w:rPr>
                <w:b/>
                <w:bCs/>
                <w:sz w:val="24"/>
                <w:szCs w:val="24"/>
              </w:rPr>
            </w:pPr>
            <w:r>
              <w:rPr>
                <w:b/>
                <w:bCs/>
                <w:sz w:val="24"/>
                <w:szCs w:val="24"/>
              </w:rPr>
              <w:t>2:00 PM – 4:00 PM Tuesdays</w:t>
            </w:r>
          </w:p>
        </w:tc>
        <w:tc>
          <w:tcPr>
            <w:tcW w:w="3258" w:type="dxa"/>
          </w:tcPr>
          <w:p w:rsidR="009852A9" w:rsidRPr="009852A9" w:rsidRDefault="009852A9" w:rsidP="00A116A1">
            <w:pPr>
              <w:tabs>
                <w:tab w:val="left" w:pos="1620"/>
              </w:tabs>
              <w:rPr>
                <w:bCs/>
                <w:sz w:val="24"/>
                <w:szCs w:val="24"/>
              </w:rPr>
            </w:pP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lastRenderedPageBreak/>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rsidR="006B67EC" w:rsidRPr="003F4035" w:rsidRDefault="006B67EC" w:rsidP="006B67EC">
      <w:pPr>
        <w:pStyle w:val="Heading1"/>
      </w:pPr>
      <w:r>
        <w:lastRenderedPageBreak/>
        <w:t>Student Learning Outcomes</w:t>
      </w:r>
    </w:p>
    <w:p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82222D" w:rsidRDefault="0082222D" w:rsidP="0082222D">
            <w:pPr>
              <w:spacing w:line="256" w:lineRule="auto"/>
              <w:jc w:val="center"/>
              <w:rPr>
                <w:rFonts w:cs="Arial"/>
                <w:b/>
                <w:bCs/>
              </w:rPr>
            </w:pPr>
            <w:r>
              <w:rPr>
                <w:rFonts w:cs="Arial"/>
                <w:b/>
                <w:bCs/>
              </w:rPr>
              <w:t>Social Work Core Competencies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bCs/>
              </w:rPr>
            </w:pPr>
            <w:r>
              <w:rPr>
                <w:rFonts w:cs="Arial"/>
                <w:b/>
                <w:bCs/>
              </w:rPr>
              <w:t>Demonstrate Ethical and Professional Behavior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Diversity and Difference in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in Policy Practice *</w:t>
            </w:r>
          </w:p>
        </w:tc>
      </w:tr>
      <w:tr w:rsidR="0082222D" w:rsidTr="0082222D">
        <w:trPr>
          <w:cantSplit/>
          <w:jc w:val="center"/>
        </w:trPr>
        <w:tc>
          <w:tcPr>
            <w:tcW w:w="644" w:type="dxa"/>
            <w:tcBorders>
              <w:top w:val="single" w:sz="4" w:space="0" w:color="C00000"/>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with Individuals, Families, Groups, Organizations, and Communities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Intervene with Individuals, Families, Groups, 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rsidR="0082222D" w:rsidRDefault="0082222D" w:rsidP="0082222D">
      <w:pPr>
        <w:tabs>
          <w:tab w:val="right" w:pos="8460"/>
        </w:tabs>
        <w:spacing w:after="240"/>
        <w:rPr>
          <w:rFonts w:cs="Arial"/>
        </w:rPr>
      </w:pPr>
      <w:r>
        <w:rPr>
          <w:rFonts w:cs="Arial"/>
        </w:rPr>
        <w:tab/>
        <w:t>* Highlighted in this course</w:t>
      </w:r>
    </w:p>
    <w:p w:rsidR="008E5906" w:rsidRPr="008E5906" w:rsidRDefault="0082222D" w:rsidP="006A5D46">
      <w:pPr>
        <w:rPr>
          <w:rFonts w:cs="Arial"/>
          <w:szCs w:val="24"/>
        </w:rPr>
        <w:sectPr w:rsidR="008E5906" w:rsidRPr="008E5906" w:rsidSect="00FE4150">
          <w:headerReference w:type="default" r:id="rId9"/>
          <w:footerReference w:type="default" r:id="rId10"/>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rsidTr="00FE4150">
        <w:trPr>
          <w:trHeight w:val="827"/>
        </w:trPr>
        <w:tc>
          <w:tcPr>
            <w:tcW w:w="3888" w:type="dxa"/>
            <w:tcBorders>
              <w:top w:val="single" w:sz="4" w:space="0" w:color="C00000"/>
              <w:left w:val="single" w:sz="4" w:space="0" w:color="C00000"/>
              <w:right w:val="single" w:sz="4" w:space="0" w:color="C00000"/>
            </w:tcBorders>
          </w:tcPr>
          <w:p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rsidR="00946A0B" w:rsidRPr="00946A0B" w:rsidRDefault="00946A0B" w:rsidP="00FE4150">
            <w:pPr>
              <w:rPr>
                <w:rFonts w:ascii="Arial" w:hAnsi="Arial" w:cs="Arial"/>
                <w:sz w:val="22"/>
                <w:szCs w:val="22"/>
                <w:shd w:val="clear" w:color="auto" w:fill="FFFFFF"/>
              </w:rPr>
            </w:pPr>
          </w:p>
          <w:p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Unit 15: Reforming the Budget: In-Class Presentations</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Assignments:</w:t>
            </w:r>
          </w:p>
          <w:p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rsidTr="008E5906">
        <w:trPr>
          <w:trHeight w:val="9080"/>
        </w:trPr>
        <w:tc>
          <w:tcPr>
            <w:tcW w:w="2894" w:type="dxa"/>
            <w:tcBorders>
              <w:top w:val="single" w:sz="4" w:space="0" w:color="C00000"/>
              <w:left w:val="single" w:sz="4" w:space="0" w:color="C00000"/>
              <w:right w:val="single" w:sz="4" w:space="0" w:color="C00000"/>
            </w:tcBorders>
          </w:tcPr>
          <w:p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946A0B" w:rsidRPr="00946A0B" w:rsidRDefault="00946A0B" w:rsidP="00946A0B">
            <w:pPr>
              <w:rPr>
                <w:rFonts w:ascii="Arial" w:hAnsi="Arial" w:cs="Arial"/>
                <w:color w:val="000000"/>
                <w:sz w:val="22"/>
                <w:szCs w:val="22"/>
                <w:shd w:val="clear" w:color="auto" w:fill="FFFFFF"/>
              </w:rPr>
            </w:pPr>
          </w:p>
          <w:p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946A0B" w:rsidRPr="00946A0B" w:rsidRDefault="00946A0B" w:rsidP="00946A0B">
            <w:pPr>
              <w:rPr>
                <w:rFonts w:ascii="Arial" w:hAnsi="Arial" w:cs="Arial"/>
                <w:sz w:val="22"/>
                <w:szCs w:val="22"/>
                <w:shd w:val="clear" w:color="auto" w:fill="FFFFFF"/>
              </w:rPr>
            </w:pPr>
          </w:p>
          <w:p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 work to advance justice.  Note the title of the course itself, “Policy and Advocacy in Professional Social Work."</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rsidR="00946A0B" w:rsidRPr="00EF2FF9" w:rsidRDefault="00946A0B" w:rsidP="00946A0B">
            <w:pPr>
              <w:rPr>
                <w:rFonts w:ascii="Arial" w:hAnsi="Arial" w:cs="Arial"/>
                <w:sz w:val="22"/>
                <w:szCs w:val="22"/>
              </w:rPr>
            </w:pPr>
          </w:p>
          <w:p w:rsidR="00946A0B" w:rsidRPr="00F475F8" w:rsidRDefault="00946A0B" w:rsidP="00946A0B">
            <w:pPr>
              <w:rPr>
                <w:rFonts w:ascii="Arial" w:hAnsi="Arial" w:cs="Arial"/>
                <w:sz w:val="22"/>
                <w:szCs w:val="22"/>
              </w:rPr>
            </w:pPr>
            <w:r w:rsidRPr="00EF2FF9">
              <w:rPr>
                <w:rFonts w:ascii="Arial" w:hAnsi="Arial" w:cs="Arial"/>
                <w:sz w:val="22"/>
                <w:szCs w:val="22"/>
              </w:rPr>
              <w:t>Unit 15: Reforming the Budget: In-Class Presentations.</w:t>
            </w: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rsidTr="00D859D3">
        <w:trPr>
          <w:trHeight w:val="827"/>
        </w:trPr>
        <w:tc>
          <w:tcPr>
            <w:tcW w:w="2582" w:type="dxa"/>
            <w:vMerge w:val="restart"/>
            <w:tcBorders>
              <w:top w:val="single" w:sz="4" w:space="0" w:color="C00000"/>
              <w:left w:val="single" w:sz="4" w:space="0" w:color="C00000"/>
              <w:right w:val="single" w:sz="4" w:space="0" w:color="C00000"/>
            </w:tcBorders>
          </w:tcPr>
          <w:p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6A1B2D" w:rsidRPr="00CE71A7" w:rsidRDefault="006A1B2D" w:rsidP="006A1B2D">
            <w:pPr>
              <w:rPr>
                <w:rFonts w:ascii="Arial" w:hAnsi="Arial" w:cs="Arial"/>
                <w:b/>
              </w:rPr>
            </w:pPr>
            <w:r w:rsidRPr="00CE71A7">
              <w:rPr>
                <w:rFonts w:ascii="Arial" w:hAnsi="Arial" w:cs="Arial"/>
                <w:b/>
              </w:rPr>
              <w:lastRenderedPageBreak/>
              <w:t>Competency 5</w:t>
            </w:r>
            <w:r w:rsidRPr="00CE71A7">
              <w:rPr>
                <w:rFonts w:ascii="Arial" w:hAnsi="Arial" w:cs="Arial"/>
              </w:rPr>
              <w:t xml:space="preserve">: </w:t>
            </w:r>
            <w:r w:rsidRPr="00CE71A7">
              <w:rPr>
                <w:rFonts w:ascii="Arial" w:hAnsi="Arial" w:cs="Arial"/>
                <w:b/>
              </w:rPr>
              <w:t>Engage in Policy Practice</w:t>
            </w:r>
          </w:p>
          <w:p w:rsidR="006A1B2D" w:rsidRDefault="006A1B2D" w:rsidP="00CE71A7">
            <w:pPr>
              <w:rPr>
                <w:rFonts w:ascii="Arial" w:hAnsi="Arial" w:cs="Arial"/>
                <w:color w:val="211D1E"/>
              </w:rPr>
            </w:pPr>
          </w:p>
          <w:p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lastRenderedPageBreak/>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 xml:space="preserve">(5) 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CE71A7">
            <w:pPr>
              <w:rPr>
                <w:rFonts w:ascii="Arial" w:hAnsi="Arial" w:cs="Arial"/>
              </w:rPr>
            </w:pPr>
            <w:r w:rsidRPr="006A1B2D">
              <w:rPr>
                <w:rFonts w:ascii="Arial" w:hAnsi="Arial" w:cs="Arial"/>
              </w:rPr>
              <w:t>Review of assignments # 1 and 2</w:t>
            </w:r>
          </w:p>
          <w:p w:rsidR="00CE71A7" w:rsidRPr="006A1B2D" w:rsidRDefault="00CE71A7" w:rsidP="00CE71A7">
            <w:pPr>
              <w:rPr>
                <w:rFonts w:ascii="Arial" w:hAnsi="Arial" w:cs="Arial"/>
              </w:rPr>
            </w:pPr>
            <w:r w:rsidRPr="006A1B2D">
              <w:rPr>
                <w:rFonts w:ascii="Arial" w:hAnsi="Arial" w:cs="Arial"/>
              </w:rPr>
              <w:t>Unit 1: Adequacy, Security and Justice</w:t>
            </w:r>
          </w:p>
          <w:p w:rsidR="00CE71A7" w:rsidRPr="006A1B2D" w:rsidRDefault="00CE71A7" w:rsidP="00CE71A7">
            <w:pPr>
              <w:rPr>
                <w:rFonts w:ascii="Arial" w:hAnsi="Arial" w:cs="Arial"/>
              </w:rPr>
            </w:pPr>
            <w:r w:rsidRPr="006A1B2D">
              <w:rPr>
                <w:rFonts w:ascii="Arial" w:hAnsi="Arial" w:cs="Arial"/>
              </w:rPr>
              <w:t>Unit 2: Programs: Family Income, Nutrition and Health</w:t>
            </w:r>
          </w:p>
          <w:p w:rsidR="00CE71A7" w:rsidRPr="006A1B2D" w:rsidRDefault="00CE71A7" w:rsidP="00CE71A7">
            <w:pPr>
              <w:rPr>
                <w:rFonts w:ascii="Arial" w:hAnsi="Arial" w:cs="Arial"/>
              </w:rPr>
            </w:pPr>
            <w:r w:rsidRPr="006A1B2D">
              <w:rPr>
                <w:rFonts w:ascii="Arial" w:hAnsi="Arial" w:cs="Arial"/>
              </w:rPr>
              <w:t>Unit 3: Fiscal Systems: Means-tested Programs</w:t>
            </w:r>
          </w:p>
          <w:p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rsidR="00CE71A7" w:rsidRPr="006A1B2D" w:rsidRDefault="00CE71A7" w:rsidP="00CE71A7">
            <w:pPr>
              <w:rPr>
                <w:rFonts w:ascii="Arial" w:hAnsi="Arial" w:cs="Arial"/>
              </w:rPr>
            </w:pPr>
            <w:r w:rsidRPr="006A1B2D">
              <w:rPr>
                <w:rFonts w:ascii="Arial" w:hAnsi="Arial" w:cs="Arial"/>
              </w:rPr>
              <w:t>Unit 6: Fiscal Systems: Paying for Security</w:t>
            </w:r>
          </w:p>
          <w:p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rsidR="00CE71A7" w:rsidRPr="006A1B2D" w:rsidRDefault="00CE71A7" w:rsidP="00CE71A7">
            <w:pPr>
              <w:rPr>
                <w:rFonts w:ascii="Arial" w:hAnsi="Arial" w:cs="Arial"/>
              </w:rPr>
            </w:pPr>
            <w:r w:rsidRPr="006A1B2D">
              <w:rPr>
                <w:rFonts w:ascii="Arial" w:hAnsi="Arial" w:cs="Arial"/>
              </w:rPr>
              <w:t>Unit 8: Programs: Medicare, and the ACA: Behavioral health</w:t>
            </w:r>
          </w:p>
          <w:p w:rsidR="00CE71A7" w:rsidRPr="006A1B2D" w:rsidRDefault="00CE71A7" w:rsidP="00CE71A7">
            <w:pPr>
              <w:rPr>
                <w:rFonts w:ascii="Arial" w:hAnsi="Arial" w:cs="Arial"/>
              </w:rPr>
            </w:pPr>
            <w:r w:rsidRPr="006A1B2D">
              <w:rPr>
                <w:rFonts w:ascii="Arial" w:hAnsi="Arial" w:cs="Arial"/>
              </w:rPr>
              <w:t>Unit 9: Fiscal Systems: Paying for Health</w:t>
            </w:r>
          </w:p>
          <w:p w:rsidR="00CE71A7" w:rsidRPr="006A1B2D" w:rsidRDefault="00CE71A7" w:rsidP="00CE71A7">
            <w:pPr>
              <w:rPr>
                <w:rFonts w:ascii="Arial" w:hAnsi="Arial" w:cs="Arial"/>
              </w:rPr>
            </w:pPr>
            <w:r w:rsidRPr="006A1B2D">
              <w:rPr>
                <w:rFonts w:ascii="Arial" w:hAnsi="Arial" w:cs="Arial"/>
              </w:rPr>
              <w:t>Unit 11: Programs: Education and Children Initiatives</w:t>
            </w:r>
          </w:p>
          <w:p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rsidR="00CE71A7" w:rsidRDefault="00CE71A7" w:rsidP="00CE71A7">
            <w:pPr>
              <w:rPr>
                <w:rFonts w:ascii="Arial" w:hAnsi="Arial" w:cs="Arial"/>
              </w:rPr>
            </w:pPr>
            <w:r w:rsidRPr="006A1B2D">
              <w:rPr>
                <w:rFonts w:ascii="Arial" w:hAnsi="Arial" w:cs="Arial"/>
              </w:rPr>
              <w:t>Unit 13: Taxation and Government Budget Priorities</w:t>
            </w: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Pr="00CE71A7" w:rsidRDefault="00D859D3" w:rsidP="00CE71A7">
            <w:pPr>
              <w:rPr>
                <w:rFonts w:ascii="Arial" w:hAnsi="Arial" w:cs="Arial"/>
              </w:rPr>
            </w:pPr>
          </w:p>
        </w:tc>
      </w:tr>
      <w:tr w:rsidR="006A1B2D" w:rsidRPr="008D2F53" w:rsidTr="00D859D3">
        <w:trPr>
          <w:trHeight w:val="620"/>
        </w:trPr>
        <w:tc>
          <w:tcPr>
            <w:tcW w:w="2582" w:type="dxa"/>
            <w:vMerge/>
            <w:tcBorders>
              <w:left w:val="single" w:sz="4" w:space="0" w:color="C00000"/>
              <w:right w:val="single" w:sz="4" w:space="0" w:color="C00000"/>
            </w:tcBorders>
          </w:tcPr>
          <w:p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8D2F53" w:rsidRDefault="006A1B2D" w:rsidP="006A1B2D">
            <w:r w:rsidRPr="008D2F53">
              <w:t xml:space="preserve"> </w:t>
            </w:r>
          </w:p>
          <w:p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br/>
              <w:t>Unit 8: Programs: Medicare, and the ACA: Behavioral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9: Fiscal Systems: Paying for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p>
          <w:p w:rsidR="006A1B2D" w:rsidRDefault="006A1B2D" w:rsidP="006A1B2D">
            <w:pPr>
              <w:rPr>
                <w:rFonts w:ascii="Arial" w:hAnsi="Arial" w:cs="Arial"/>
              </w:rPr>
            </w:pPr>
            <w:r w:rsidRPr="006A1B2D">
              <w:rPr>
                <w:rFonts w:ascii="Arial" w:hAnsi="Arial" w:cs="Arial"/>
              </w:rPr>
              <w:t>Unit 13: Taxation and Government Budget Priorities</w:t>
            </w: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Pr="006A1B2D" w:rsidRDefault="006A1B2D" w:rsidP="006A1B2D">
            <w:pPr>
              <w:rPr>
                <w:rFonts w:ascii="Arial" w:hAnsi="Arial" w:cs="Arial"/>
              </w:rPr>
            </w:pPr>
          </w:p>
        </w:tc>
      </w:tr>
      <w:tr w:rsidR="006A1B2D" w:rsidRPr="006A1B2D" w:rsidTr="00D859D3">
        <w:trPr>
          <w:trHeight w:val="620"/>
        </w:trPr>
        <w:tc>
          <w:tcPr>
            <w:tcW w:w="2582" w:type="dxa"/>
            <w:tcBorders>
              <w:left w:val="single" w:sz="4" w:space="0" w:color="C00000"/>
              <w:right w:val="single" w:sz="4" w:space="0" w:color="C00000"/>
            </w:tcBorders>
          </w:tcPr>
          <w:p w:rsidR="006A1B2D" w:rsidRPr="006A1B2D" w:rsidRDefault="006A1B2D" w:rsidP="006A1B2D">
            <w:pPr>
              <w:rPr>
                <w:rFonts w:ascii="Arial" w:hAnsi="Arial" w:cs="Arial"/>
                <w:b/>
              </w:rPr>
            </w:pPr>
            <w:r w:rsidRPr="006A1B2D">
              <w:rPr>
                <w:rFonts w:ascii="Arial" w:hAnsi="Arial" w:cs="Arial"/>
                <w:b/>
              </w:rPr>
              <w:lastRenderedPageBreak/>
              <w:t>Competency 5</w:t>
            </w:r>
            <w:r w:rsidRPr="006A1B2D">
              <w:rPr>
                <w:rFonts w:ascii="Arial" w:hAnsi="Arial" w:cs="Arial"/>
              </w:rPr>
              <w:t xml:space="preserve">: </w:t>
            </w:r>
            <w:r w:rsidRPr="006A1B2D">
              <w:rPr>
                <w:rFonts w:ascii="Arial" w:hAnsi="Arial" w:cs="Arial"/>
                <w:b/>
              </w:rPr>
              <w:t>Engage in Policy Practice</w:t>
            </w:r>
          </w:p>
          <w:p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Applies critical thinking to analyze, formulate, and advocate for policies that advance human rights and social, 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6A1B2D">
              <w:rPr>
                <w:rFonts w:ascii="Arial" w:hAnsi="Arial" w:cs="Arial"/>
              </w:rPr>
              <w:t>Knowledge, Values,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spacing w:line="200" w:lineRule="exact"/>
              <w:rPr>
                <w:rFonts w:ascii="Arial" w:hAnsi="Arial" w:cs="Arial"/>
                <w:bCs/>
              </w:rPr>
            </w:pPr>
            <w:r w:rsidRPr="006A1B2D">
              <w:rPr>
                <w:rFonts w:ascii="Arial" w:hAnsi="Arial" w:cs="Arial"/>
                <w:bCs/>
              </w:rPr>
              <w:t>In-class participation; and review of assignments # 1, 2 and 3</w:t>
            </w:r>
          </w:p>
          <w:p w:rsidR="006A1B2D" w:rsidRPr="006A1B2D" w:rsidRDefault="006A1B2D" w:rsidP="006A1B2D">
            <w:pPr>
              <w:spacing w:line="200" w:lineRule="exact"/>
              <w:rPr>
                <w:rFonts w:ascii="Arial" w:hAnsi="Arial" w:cs="Arial"/>
                <w:bCs/>
              </w:rPr>
            </w:pPr>
          </w:p>
          <w:p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thorough, I have listed every class here: </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r w:rsidRPr="006A1B2D">
              <w:rPr>
                <w:rFonts w:ascii="Arial" w:hAnsi="Arial" w:cs="Arial"/>
              </w:rPr>
              <w:t>Unit 4: The Power of Advocacy: Writing, Speaking and Activism Lab</w:t>
            </w: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t>Unit 8: Programs: Medicare, and the ACA: Behavioral health</w:t>
            </w:r>
          </w:p>
          <w:p w:rsidR="006A1B2D" w:rsidRPr="006A1B2D" w:rsidRDefault="006A1B2D" w:rsidP="006A1B2D">
            <w:pPr>
              <w:rPr>
                <w:rFonts w:ascii="Arial" w:hAnsi="Arial" w:cs="Arial"/>
              </w:rPr>
            </w:pPr>
            <w:r w:rsidRPr="006A1B2D">
              <w:rPr>
                <w:rFonts w:ascii="Arial" w:hAnsi="Arial" w:cs="Arial"/>
              </w:rPr>
              <w:t>Unit 9: Fiscal Systems: Paying for Health</w:t>
            </w:r>
          </w:p>
          <w:p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r w:rsidRPr="006A1B2D">
              <w:rPr>
                <w:rFonts w:ascii="Arial" w:hAnsi="Arial" w:cs="Arial"/>
              </w:rPr>
              <w:t>Unit 13: Taxation and Government Budget Priorities</w:t>
            </w:r>
          </w:p>
          <w:p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rsidR="006A1B2D" w:rsidRPr="006A1B2D" w:rsidRDefault="006A1B2D" w:rsidP="006A1B2D">
            <w:pPr>
              <w:spacing w:line="200" w:lineRule="exact"/>
              <w:rPr>
                <w:rFonts w:ascii="Arial" w:hAnsi="Arial" w:cs="Arial"/>
                <w:b/>
                <w:sz w:val="18"/>
                <w:szCs w:val="18"/>
              </w:rPr>
            </w:pPr>
            <w:r w:rsidRPr="006A1B2D">
              <w:rPr>
                <w:rFonts w:ascii="Arial" w:hAnsi="Arial" w:cs="Arial"/>
              </w:rPr>
              <w:t>Unit 15: Reforming the Budget: In-class Presentations</w:t>
            </w:r>
          </w:p>
        </w:tc>
      </w:tr>
    </w:tbl>
    <w:p w:rsidR="006A1B2D" w:rsidRDefault="006A1B2D" w:rsidP="006A1B2D">
      <w:pPr>
        <w:rPr>
          <w:rFonts w:cs="Arial"/>
          <w:szCs w:val="24"/>
        </w:rPr>
      </w:pPr>
    </w:p>
    <w:p w:rsidR="00946A0B" w:rsidRPr="006A1B2D" w:rsidRDefault="00946A0B"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rsidTr="00EF2FF9">
        <w:trPr>
          <w:trHeight w:val="827"/>
        </w:trPr>
        <w:tc>
          <w:tcPr>
            <w:tcW w:w="3388" w:type="dxa"/>
            <w:vMerge w:val="restart"/>
            <w:tcBorders>
              <w:top w:val="single" w:sz="4" w:space="0" w:color="C00000"/>
              <w:left w:val="single" w:sz="4" w:space="0" w:color="C00000"/>
              <w:right w:val="single" w:sz="4" w:space="0" w:color="C00000"/>
            </w:tcBorders>
          </w:tcPr>
          <w:p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rsidR="00EF2FF9" w:rsidRPr="00EF2FF9" w:rsidRDefault="00EF2FF9" w:rsidP="00EF2FF9">
            <w:pPr>
              <w:rPr>
                <w:rFonts w:ascii="Arial" w:hAnsi="Arial" w:cs="Arial"/>
                <w:b/>
              </w:rPr>
            </w:pPr>
            <w:r w:rsidRPr="00EF2FF9">
              <w:rPr>
                <w:rFonts w:ascii="Arial" w:hAnsi="Arial"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EF2FF9">
              <w:rPr>
                <w:rFonts w:ascii="Arial" w:hAnsi="Arial" w:cs="Arial"/>
                <w:color w:val="000000"/>
                <w:shd w:val="clear" w:color="auto" w:fill="FFFFFF"/>
              </w:rPr>
              <w:t>(3) Effectively advocate for services, rights, social justice, and equal protection for and with individuals, groups, and/or 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8a</w:t>
            </w:r>
            <w:r w:rsidRPr="00EF2FF9">
              <w:rPr>
                <w:rFonts w:ascii="Arial" w:hAnsi="Arial" w:cs="Arial"/>
              </w:rPr>
              <w:t>. Critically choose and implement interventions to 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cs="Arial"/>
              </w:rPr>
            </w:pPr>
            <w:r w:rsidRPr="00EF2FF9">
              <w:rPr>
                <w:rFonts w:ascii="Arial" w:hAnsi="Arial" w:cs="Arial"/>
              </w:rPr>
              <w:t>Knowledge, Skills, Cognitive and Affective Processes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bCs/>
              </w:rPr>
            </w:pPr>
            <w:r w:rsidRPr="00EF2FF9">
              <w:rPr>
                <w:rFonts w:ascii="Arial" w:hAnsi="Arial" w:cs="Arial"/>
                <w:bCs/>
              </w:rPr>
              <w:t>In-class participation; and review of assignment # 2.</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rPr>
                <w:rFonts w:cs="Arial"/>
              </w:rPr>
            </w:pPr>
            <w:r w:rsidRPr="00EF2FF9">
              <w:rPr>
                <w:rFonts w:ascii="Arial" w:hAnsi="Arial" w:cs="Arial"/>
              </w:rPr>
              <w:t>Unit 15: Reforming the Budget: In-Class Presentations.</w:t>
            </w:r>
          </w:p>
        </w:tc>
      </w:tr>
      <w:tr w:rsidR="00EF2FF9" w:rsidRPr="00EF2FF9" w:rsidTr="00EF2FF9">
        <w:trPr>
          <w:trHeight w:val="620"/>
        </w:trPr>
        <w:tc>
          <w:tcPr>
            <w:tcW w:w="3388" w:type="dxa"/>
            <w:vMerge/>
            <w:tcBorders>
              <w:left w:val="single" w:sz="4" w:space="0" w:color="C00000"/>
              <w:right w:val="single" w:sz="4" w:space="0" w:color="C00000"/>
            </w:tcBorders>
          </w:tcPr>
          <w:p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r w:rsidRPr="00EF2FF9">
              <w:t xml:space="preserve"> </w:t>
            </w:r>
          </w:p>
          <w:p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spacing w:line="200" w:lineRule="exact"/>
            </w:pPr>
          </w:p>
          <w:p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r w:rsidRPr="00EF2FF9">
              <w:rPr>
                <w:rFonts w:ascii="Arial" w:hAnsi="Arial" w:cs="Arial"/>
              </w:rPr>
              <w:t>Unit 15: Reforming the Budget: In-Class Presentations.</w:t>
            </w: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tc>
      </w:tr>
    </w:tbl>
    <w:p w:rsidR="0082222D" w:rsidRDefault="0082222D" w:rsidP="006A5D46">
      <w:pPr>
        <w:sectPr w:rsidR="0082222D" w:rsidSect="00FE4150">
          <w:pgSz w:w="15840" w:h="12240" w:orient="landscape"/>
          <w:pgMar w:top="720" w:right="720" w:bottom="720" w:left="720" w:header="720" w:footer="720" w:gutter="0"/>
          <w:cols w:space="720"/>
          <w:docGrid w:linePitch="360"/>
        </w:sectPr>
      </w:pPr>
    </w:p>
    <w:p w:rsidR="00883E45" w:rsidRDefault="00E9266D" w:rsidP="00E9266D">
      <w:pPr>
        <w:pStyle w:val="Heading1"/>
      </w:pPr>
      <w:r>
        <w:lastRenderedPageBreak/>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9E42FF">
            <w:pPr>
              <w:jc w:val="center"/>
              <w:rPr>
                <w:rFonts w:cs="Arial"/>
              </w:rPr>
            </w:pPr>
            <w:r>
              <w:rPr>
                <w:rFonts w:cs="Arial"/>
              </w:rPr>
              <w:t xml:space="preserve">Class </w:t>
            </w:r>
            <w:r w:rsidR="009E42FF">
              <w:rPr>
                <w:rFonts w:cs="Arial"/>
              </w:rPr>
              <w:t>4</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xml:space="preserve">; faculty will check in during </w:t>
            </w:r>
            <w:proofErr w:type="spellStart"/>
            <w:r w:rsidR="00C54293" w:rsidRPr="00C54293">
              <w:rPr>
                <w:rFonts w:cs="Arial"/>
                <w:sz w:val="16"/>
                <w:szCs w:val="16"/>
              </w:rPr>
              <w:t>wk</w:t>
            </w:r>
            <w:proofErr w:type="spellEnd"/>
            <w:r w:rsidR="00C54293" w:rsidRPr="00C54293">
              <w:rPr>
                <w:rFonts w:cs="Arial"/>
                <w:sz w:val="16"/>
                <w:szCs w:val="16"/>
              </w:rPr>
              <w:t xml:space="preserve">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w:t>
      </w:r>
      <w:r w:rsidR="009E42FF">
        <w:rPr>
          <w:sz w:val="24"/>
          <w:szCs w:val="24"/>
        </w:rPr>
        <w:t xml:space="preserve"> grade, due class 4</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-page research</w:t>
      </w:r>
      <w:r w:rsidR="007E7489">
        <w:rPr>
          <w:sz w:val="24"/>
        </w:rPr>
        <w:t xml:space="preserve">-based assessment focused on a specific community.  If you visited a community during the “Immersion” activity prior to regular classes, you will use that community; otherwise chose a community after speaking with the professor. </w:t>
      </w:r>
      <w:r>
        <w:rPr>
          <w:sz w:val="24"/>
        </w:rPr>
        <w:t xml:space="preserve">The purpose of this assignment is </w:t>
      </w:r>
      <w:r w:rsidR="00B71457">
        <w:rPr>
          <w:sz w:val="24"/>
        </w:rPr>
        <w:t xml:space="preserve">for you to demonstrate a professional understanding of </w:t>
      </w:r>
      <w:r w:rsidR="00C97C53">
        <w:rPr>
          <w:sz w:val="24"/>
        </w:rPr>
        <w:t>a</w:t>
      </w:r>
      <w:r w:rsidR="00B71457">
        <w:rPr>
          <w:sz w:val="24"/>
        </w:rPr>
        <w:t xml:space="preserve"> community and assess some of the important aspects thereof, </w:t>
      </w:r>
      <w:r w:rsidR="00E76BAB">
        <w:rPr>
          <w:sz w:val="24"/>
        </w:rPr>
        <w:t xml:space="preserve">especially as regards </w:t>
      </w:r>
      <w:r w:rsidR="00C97C53">
        <w:rPr>
          <w:sz w:val="24"/>
        </w:rPr>
        <w:t>to the Grand Challenges (</w:t>
      </w:r>
      <w:r w:rsidR="00E76BAB">
        <w:rPr>
          <w:sz w:val="24"/>
        </w:rPr>
        <w:t>poverty, health, security</w:t>
      </w:r>
      <w:r w:rsidR="00C97C53">
        <w:rPr>
          <w:sz w:val="24"/>
        </w:rPr>
        <w:t>, homelessness, etc.)</w:t>
      </w:r>
      <w:r>
        <w:rPr>
          <w:sz w:val="24"/>
        </w:rPr>
        <w:t xml:space="preserve">. This </w:t>
      </w:r>
      <w:r w:rsidR="00E76BAB">
        <w:rPr>
          <w:sz w:val="24"/>
        </w:rPr>
        <w:t xml:space="preserve">assignment </w:t>
      </w:r>
      <w:r>
        <w:rPr>
          <w:sz w:val="24"/>
        </w:rPr>
        <w:t xml:space="preserve">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on-ground observations</w:t>
      </w:r>
      <w:r w:rsidR="00C97C53">
        <w:rPr>
          <w:sz w:val="24"/>
        </w:rPr>
        <w:t xml:space="preserve"> if applicable</w:t>
      </w:r>
      <w:r w:rsidR="00664D66">
        <w:rPr>
          <w:sz w:val="24"/>
        </w:rPr>
        <w:t xml:space="preserve">,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w:t>
      </w: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w:t>
      </w:r>
      <w:r w:rsidR="008D0FF2">
        <w:rPr>
          <w:sz w:val="24"/>
        </w:rPr>
        <w:t>directed</w:t>
      </w:r>
      <w:r w:rsidR="00420BBF">
        <w:rPr>
          <w:sz w:val="24"/>
        </w:rPr>
        <w:t xml:space="preserve"> advocacy</w:t>
      </w:r>
      <w:r w:rsidR="008F32C4">
        <w:rPr>
          <w:sz w:val="24"/>
        </w:rPr>
        <w:t xml:space="preserve">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w:t>
      </w:r>
      <w:r w:rsidR="00420BBF">
        <w:rPr>
          <w:sz w:val="24"/>
        </w:rPr>
        <w:t>the substantive issue the student seeks to impact, and the advocacy activity with which the student engages</w:t>
      </w:r>
      <w:r w:rsidR="00446D1B">
        <w:rPr>
          <w:sz w:val="24"/>
        </w:rPr>
        <w:t xml:space="preserve">.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(2) arrange and perform a</w:t>
      </w:r>
      <w:r w:rsidR="00420BBF">
        <w:rPr>
          <w:sz w:val="24"/>
        </w:rPr>
        <w:t>n in-person</w:t>
      </w:r>
      <w:r w:rsidR="00446D1B">
        <w:rPr>
          <w:sz w:val="24"/>
        </w:rPr>
        <w:t xml:space="preserve"> lobby visit </w:t>
      </w:r>
      <w:r w:rsidR="009F591A">
        <w:rPr>
          <w:sz w:val="24"/>
        </w:rPr>
        <w:lastRenderedPageBreak/>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w:t>
      </w:r>
      <w:r w:rsidR="009E42FF">
        <w:rPr>
          <w:sz w:val="24"/>
        </w:rPr>
        <w:t>f</w:t>
      </w:r>
      <w:r>
        <w:rPr>
          <w:sz w:val="24"/>
        </w:rPr>
        <w:t xml:space="preserve">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w:t>
      </w:r>
      <w:r w:rsidR="00420BBF">
        <w:rPr>
          <w:sz w:val="24"/>
          <w:szCs w:val="24"/>
        </w:rPr>
        <w:t xml:space="preserve"> target</w:t>
      </w:r>
      <w:r>
        <w:rPr>
          <w:sz w:val="24"/>
          <w:szCs w:val="24"/>
        </w:rPr>
        <w:t>;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w:t>
      </w:r>
      <w:r w:rsidR="00420BBF">
        <w:t xml:space="preserve">unexpected </w:t>
      </w:r>
      <w:r w:rsidR="000D76C1">
        <w:t xml:space="preserve">scenario </w:t>
      </w:r>
      <w:r w:rsidR="00420BBF">
        <w:t>(assigned by the instructor)</w:t>
      </w:r>
      <w:r>
        <w:t xml:space="preserve">,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w:t>
      </w:r>
      <w:r w:rsidR="00420BBF">
        <w:t xml:space="preserve">that </w:t>
      </w:r>
      <w:r>
        <w:t>meet</w:t>
      </w:r>
      <w:r w:rsidR="00420BBF">
        <w:t>s</w:t>
      </w:r>
      <w:r>
        <w:t xml:space="preserve">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 xml:space="preserve">involvement in this class is considered essential to your growth as a practitioner. You will be asked to discuss the material assigned, participate in </w:t>
      </w:r>
      <w:r w:rsidR="00420BBF">
        <w:rPr>
          <w:rFonts w:ascii="Calibri" w:eastAsia="Times New Roman" w:hAnsi="Calibri" w:cs="Calibri"/>
        </w:rPr>
        <w:t>i</w:t>
      </w:r>
      <w:r w:rsidRPr="0009036D">
        <w:rPr>
          <w:rFonts w:cstheme="minorHAnsi"/>
        </w:rPr>
        <w:t xml:space="preserve">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 xml:space="preserve">Faculty will check-in with students </w:t>
      </w:r>
      <w:r w:rsidR="00420BBF">
        <w:rPr>
          <w:rFonts w:cstheme="minorHAnsi"/>
        </w:rPr>
        <w:t>by</w:t>
      </w:r>
      <w:r w:rsidR="00140614">
        <w:rPr>
          <w:rFonts w:cstheme="minorHAnsi"/>
        </w:rPr>
        <w:t xml:space="preserve">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w:t>
      </w:r>
      <w:r w:rsidR="00463097">
        <w:rPr>
          <w:rFonts w:ascii="Calibri" w:hAnsi="Calibri" w:cs="Calibri"/>
          <w:sz w:val="22"/>
          <w:szCs w:val="22"/>
        </w:rPr>
        <w:t>0</w:t>
      </w:r>
      <w:r>
        <w:rPr>
          <w:rFonts w:ascii="Calibri" w:hAnsi="Calibri" w:cs="Calibri"/>
          <w:sz w:val="22"/>
          <w:szCs w:val="22"/>
        </w:rPr>
        <w:t xml:space="preserve">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w:t>
      </w:r>
      <w:r w:rsidR="0009036D" w:rsidRPr="006D49DD">
        <w:rPr>
          <w:rFonts w:ascii="Calibri" w:hAnsi="Calibri" w:cs="Calibri"/>
          <w:sz w:val="22"/>
          <w:szCs w:val="22"/>
        </w:rPr>
        <w:lastRenderedPageBreak/>
        <w:t xml:space="preserve">the class. Challenges are well substantiated, persuasively presented, and presented with excellent comportment. If this person were not a member of the class, the quality of discussion would be diminished markedly. </w:t>
      </w:r>
    </w:p>
    <w:p w:rsidR="0009036D" w:rsidRPr="006D49DD" w:rsidRDefault="00463097" w:rsidP="006D49DD">
      <w:pPr>
        <w:pStyle w:val="BodyText"/>
        <w:ind w:left="720"/>
        <w:rPr>
          <w:rFonts w:asciiTheme="minorHAnsi" w:hAnsiTheme="minorHAnsi" w:cstheme="minorHAnsi"/>
          <w:sz w:val="22"/>
          <w:szCs w:val="22"/>
        </w:rPr>
      </w:pPr>
      <w:r>
        <w:rPr>
          <w:rFonts w:ascii="Calibri" w:hAnsi="Calibri" w:cs="Calibri"/>
          <w:sz w:val="22"/>
          <w:szCs w:val="22"/>
        </w:rPr>
        <w:t>8</w:t>
      </w:r>
      <w:r w:rsidR="00526D93">
        <w:rPr>
          <w:rFonts w:ascii="Calibri" w:hAnsi="Calibri" w:cs="Calibri"/>
          <w:sz w:val="22"/>
          <w:szCs w:val="22"/>
        </w:rPr>
        <w:t xml:space="preserve"> - </w:t>
      </w:r>
      <w:r>
        <w:rPr>
          <w:rFonts w:ascii="Calibri" w:hAnsi="Calibri" w:cs="Calibri"/>
          <w:sz w:val="22"/>
          <w:szCs w:val="22"/>
        </w:rPr>
        <w:t>9</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Pr>
          <w:rFonts w:asciiTheme="minorHAnsi" w:hAnsiTheme="minorHAnsi" w:cstheme="minorHAnsi"/>
          <w:sz w:val="22"/>
          <w:szCs w:val="22"/>
        </w:rPr>
        <w:t>in-class material</w:t>
      </w:r>
      <w:r w:rsidR="0009036D" w:rsidRPr="006D49DD">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7</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463097" w:rsidP="006D49DD">
      <w:pPr>
        <w:pStyle w:val="BodyText"/>
        <w:ind w:left="720"/>
        <w:rPr>
          <w:rFonts w:ascii="Calibri" w:hAnsi="Calibri" w:cs="Calibri"/>
          <w:sz w:val="22"/>
          <w:szCs w:val="22"/>
        </w:rPr>
      </w:pPr>
      <w:r>
        <w:rPr>
          <w:rFonts w:ascii="Calibri" w:hAnsi="Calibri" w:cs="Calibri"/>
          <w:sz w:val="22"/>
          <w:szCs w:val="22"/>
        </w:rPr>
        <w:t>5</w:t>
      </w:r>
      <w:r w:rsidR="00526D93">
        <w:rPr>
          <w:rFonts w:ascii="Calibri" w:hAnsi="Calibri" w:cs="Calibri"/>
          <w:sz w:val="22"/>
          <w:szCs w:val="22"/>
        </w:rPr>
        <w:t xml:space="preserve"> - </w:t>
      </w:r>
      <w:r>
        <w:rPr>
          <w:rFonts w:ascii="Calibri" w:hAnsi="Calibri" w:cs="Calibri"/>
          <w:sz w:val="22"/>
          <w:szCs w:val="22"/>
        </w:rPr>
        <w:t>6</w:t>
      </w:r>
      <w:r w:rsidR="0009036D"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463097" w:rsidP="00526D93">
      <w:pPr>
        <w:pStyle w:val="BodyText"/>
        <w:ind w:left="720"/>
        <w:rPr>
          <w:rFonts w:ascii="Calibri" w:hAnsi="Calibri" w:cs="Calibri"/>
          <w:sz w:val="22"/>
          <w:szCs w:val="22"/>
        </w:rPr>
      </w:pPr>
      <w:r>
        <w:rPr>
          <w:rFonts w:ascii="Calibri" w:hAnsi="Calibri" w:cs="Calibri"/>
          <w:sz w:val="22"/>
          <w:szCs w:val="22"/>
        </w:rPr>
        <w:t>3</w:t>
      </w:r>
      <w:r w:rsidR="00526D93">
        <w:rPr>
          <w:rFonts w:ascii="Calibri" w:hAnsi="Calibri" w:cs="Calibri"/>
          <w:sz w:val="22"/>
          <w:szCs w:val="22"/>
        </w:rPr>
        <w:t xml:space="preserve"> - </w:t>
      </w:r>
      <w:r>
        <w:rPr>
          <w:rFonts w:ascii="Calibri" w:hAnsi="Calibri" w:cs="Calibri"/>
          <w:sz w:val="22"/>
          <w:szCs w:val="22"/>
        </w:rPr>
        <w:t>4</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463097">
        <w:rPr>
          <w:rFonts w:asciiTheme="minorHAnsi" w:hAnsiTheme="minorHAnsi" w:cstheme="minorHAnsi"/>
          <w:sz w:val="22"/>
          <w:szCs w:val="22"/>
        </w:rPr>
        <w:t>2</w:t>
      </w:r>
      <w:r w:rsidRPr="006D49DD">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Pr>
          <w:rFonts w:ascii="Calibri" w:hAnsi="Calibri" w:cs="Calibri"/>
          <w:sz w:val="22"/>
          <w:szCs w:val="22"/>
        </w:rPr>
        <w:t>The student is</w:t>
      </w:r>
      <w:r w:rsidRPr="006D49DD">
        <w:rPr>
          <w:rFonts w:ascii="Calibri" w:hAnsi="Calibri" w:cs="Calibri"/>
          <w:sz w:val="22"/>
          <w:szCs w:val="22"/>
        </w:rPr>
        <w:t xml:space="preserve"> unable</w:t>
      </w:r>
      <w:r w:rsidR="00463097">
        <w:rPr>
          <w:rFonts w:ascii="Calibri" w:hAnsi="Calibri" w:cs="Calibri"/>
          <w:sz w:val="22"/>
          <w:szCs w:val="22"/>
        </w:rPr>
        <w:t xml:space="preserve"> and/or unwilling</w:t>
      </w:r>
      <w:r w:rsidRPr="006D49DD">
        <w:rPr>
          <w:rFonts w:ascii="Calibri" w:hAnsi="Calibri" w:cs="Calibri"/>
          <w:sz w:val="22"/>
          <w:szCs w:val="22"/>
        </w:rPr>
        <w:t xml:space="preserve"> to p</w:t>
      </w:r>
      <w:r w:rsidR="00463097">
        <w:rPr>
          <w:rFonts w:ascii="Calibri" w:hAnsi="Calibri" w:cs="Calibri"/>
          <w:sz w:val="22"/>
          <w:szCs w:val="22"/>
        </w:rPr>
        <w:t xml:space="preserve">articipate in in-class </w:t>
      </w:r>
      <w:r w:rsidRPr="006D49DD">
        <w:rPr>
          <w:rFonts w:ascii="Calibri" w:hAnsi="Calibri" w:cs="Calibri"/>
          <w:sz w:val="22"/>
          <w:szCs w:val="22"/>
        </w:rPr>
        <w:t>exercises</w:t>
      </w:r>
      <w:r w:rsidR="00463097">
        <w:rPr>
          <w:rFonts w:ascii="Calibri" w:hAnsi="Calibri" w:cs="Calibri"/>
          <w:sz w:val="22"/>
          <w:szCs w:val="22"/>
        </w:rPr>
        <w:t>,</w:t>
      </w:r>
      <w:r w:rsidRPr="006D49DD">
        <w:rPr>
          <w:rFonts w:ascii="Calibri" w:hAnsi="Calibri" w:cs="Calibri"/>
          <w:sz w:val="22"/>
          <w:szCs w:val="22"/>
        </w:rPr>
        <w:t xml:space="preserve"> and </w:t>
      </w:r>
      <w:r w:rsidR="00463097">
        <w:rPr>
          <w:rFonts w:ascii="Calibri" w:hAnsi="Calibri" w:cs="Calibri"/>
          <w:sz w:val="22"/>
          <w:szCs w:val="22"/>
        </w:rPr>
        <w:t xml:space="preserve">if she does, she </w:t>
      </w:r>
      <w:r w:rsidRPr="006D49DD">
        <w:rPr>
          <w:rFonts w:ascii="Calibri" w:hAnsi="Calibri" w:cs="Calibri"/>
          <w:sz w:val="22"/>
          <w:szCs w:val="22"/>
        </w:rPr>
        <w:t>detracts from the experience.</w:t>
      </w:r>
    </w:p>
    <w:p w:rsidR="0009036D" w:rsidRPr="00D74D86" w:rsidRDefault="00D859D3" w:rsidP="00BF0512">
      <w:pPr>
        <w:rPr>
          <w:sz w:val="24"/>
          <w:szCs w:val="24"/>
          <w:u w:val="single"/>
        </w:rPr>
      </w:pPr>
      <w:r>
        <w:rPr>
          <w:rFonts w:ascii="Calibri" w:hAnsi="Calibri" w:cs="Calibri"/>
        </w:rPr>
        <w:br w:type="page"/>
      </w:r>
      <w:r w:rsidR="00D74D86" w:rsidRPr="00D74D86">
        <w:rPr>
          <w:sz w:val="24"/>
          <w:szCs w:val="24"/>
          <w:u w:val="single"/>
        </w:rPr>
        <w:lastRenderedPageBreak/>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650067" w:rsidRDefault="00650067" w:rsidP="001E42AC">
      <w:pPr>
        <w:pStyle w:val="PlainText"/>
        <w:ind w:left="720"/>
        <w:rPr>
          <w:rFonts w:asciiTheme="minorHAnsi" w:hAnsiTheme="minorHAnsi" w:cstheme="minorHAnsi"/>
          <w:sz w:val="22"/>
          <w:szCs w:val="22"/>
        </w:rPr>
      </w:pPr>
    </w:p>
    <w:p w:rsidR="00650067" w:rsidRPr="00D74D86" w:rsidRDefault="00650067" w:rsidP="001E42AC">
      <w:pPr>
        <w:pStyle w:val="PlainText"/>
        <w:ind w:left="720"/>
        <w:rPr>
          <w:rFonts w:asciiTheme="minorHAnsi" w:hAnsiTheme="minorHAnsi" w:cstheme="minorHAnsi"/>
          <w:sz w:val="22"/>
          <w:szCs w:val="22"/>
        </w:rPr>
      </w:pP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51610">
        <w:t>, Bruce (2016</w:t>
      </w:r>
      <w:r w:rsidR="00645C76">
        <w:t xml:space="preserve">).  </w:t>
      </w:r>
      <w:r w:rsidRPr="00212684">
        <w:rPr>
          <w:i/>
        </w:rPr>
        <w:t xml:space="preserve">Social Welfare Policy and Advocacy: Advancing Social Justice </w:t>
      </w:r>
      <w:r w:rsidR="00782FC1">
        <w:rPr>
          <w:i/>
        </w:rPr>
        <w:t>t</w:t>
      </w:r>
      <w:r w:rsidRPr="00212684">
        <w:rPr>
          <w:i/>
        </w:rPr>
        <w: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C97C53">
        <w:t xml:space="preserve">will </w:t>
      </w:r>
      <w:r w:rsidR="004550FE">
        <w:t xml:space="preserve">also </w:t>
      </w:r>
      <w:r w:rsidRPr="002E2B2F">
        <w:t xml:space="preserve">be assigned </w:t>
      </w:r>
      <w:r w:rsidR="004550FE">
        <w:t xml:space="preserve">and/or handed out </w:t>
      </w:r>
      <w:r w:rsidRPr="002E2B2F">
        <w:t>on a class-by-class basis,</w:t>
      </w:r>
      <w:r w:rsidR="00C97C53">
        <w:t xml:space="preserve"> based on daily-occurring current events and policy evolutions,</w:t>
      </w:r>
      <w:r w:rsidRPr="002E2B2F">
        <w:t xml:space="preserve">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650067" w:rsidRDefault="00650067">
      <w:pPr>
        <w:rPr>
          <w:rFonts w:ascii="Arial" w:eastAsia="Times New Roman" w:hAnsi="Arial" w:cs="Times New Roman"/>
          <w:b/>
          <w:bCs/>
          <w:smallCaps/>
          <w:color w:val="C00000"/>
          <w:szCs w:val="24"/>
        </w:rPr>
      </w:pPr>
      <w:r>
        <w:rPr>
          <w:b/>
          <w:bCs/>
          <w:smallCaps/>
          <w:color w:val="C00000"/>
        </w:rPr>
        <w:br w:type="page"/>
      </w: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Default="00C73B16" w:rsidP="00F819BE">
            <w:pPr>
              <w:pStyle w:val="Level2"/>
            </w:pPr>
            <w:r w:rsidRPr="005A6E69">
              <w:t>Policies to create opportunity</w:t>
            </w:r>
          </w:p>
          <w:p w:rsidR="009F6918" w:rsidRPr="005A6E69" w:rsidRDefault="009F6918" w:rsidP="00F819BE">
            <w:pPr>
              <w:pStyle w:val="Level2"/>
            </w:pPr>
            <w:r>
              <w:t>The Grand Challenges for Social Work</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9F6918" w:rsidRDefault="009F6918" w:rsidP="00F819BE">
            <w:pPr>
              <w:pStyle w:val="Level2"/>
            </w:pPr>
            <w:r>
              <w:t>First assignment due</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r w:rsidR="009F6918">
              <w:t xml:space="preserve"> / role of prison</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lastRenderedPageBreak/>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9F6918" w:rsidRDefault="009F6918" w:rsidP="009E42FF">
            <w:pPr>
              <w:pStyle w:val="Level2"/>
            </w:pPr>
            <w:r>
              <w:t>Second assignment is due</w:t>
            </w:r>
          </w:p>
          <w:p w:rsidR="00C73B16" w:rsidRPr="005A6E69" w:rsidRDefault="00C73B16" w:rsidP="009F6918">
            <w:pPr>
              <w:pStyle w:val="Level2"/>
            </w:pPr>
            <w:r w:rsidRPr="005A6E69">
              <w:t xml:space="preserve">Health care-related case study: </w:t>
            </w:r>
            <w:r w:rsidR="009E42FF">
              <w:t xml:space="preserve">documentary </w:t>
            </w:r>
            <w:r w:rsidRPr="009E42FF">
              <w:rPr>
                <w:i/>
              </w:rPr>
              <w:t xml:space="preserve">How to Survive </w:t>
            </w:r>
            <w:r w:rsidR="009E42FF" w:rsidRPr="009E42FF">
              <w:rPr>
                <w:i/>
              </w:rPr>
              <w:t>a</w:t>
            </w:r>
            <w:r w:rsidRPr="009E42FF">
              <w:rPr>
                <w:i/>
              </w:rPr>
              <w:t xml:space="preserve"> Plague</w:t>
            </w:r>
            <w:r w:rsidRPr="005A6E69">
              <w:t xml:space="preserve"> </w:t>
            </w:r>
            <w:r w:rsidR="009F6918">
              <w:t>is shown in class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r w:rsidR="009F6918">
              <w:t>, Immigration policy</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Taxation and </w:t>
            </w:r>
            <w:r w:rsidR="009F6918">
              <w:t>Government Budgets to Create Opportunity?</w:t>
            </w:r>
          </w:p>
          <w:p w:rsidR="00C73B16" w:rsidRPr="005A6E69" w:rsidRDefault="00C73B16" w:rsidP="009F6918">
            <w:pPr>
              <w:pStyle w:val="Level2"/>
            </w:pPr>
            <w:r w:rsidRPr="005A6E69">
              <w:t>Review of federal incomes and disbursement; 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 xml:space="preserve">Examples of successful reform in America, </w:t>
            </w:r>
            <w:r w:rsidR="009E42FF">
              <w:t xml:space="preserve">including substantive preparation for All School Day. Topics could </w:t>
            </w:r>
            <w:r w:rsidRPr="005A6E69">
              <w:t>includ</w:t>
            </w:r>
            <w:r w:rsidR="009E42FF">
              <w:t xml:space="preserve">e, but are not limited to: </w:t>
            </w:r>
          </w:p>
          <w:p w:rsidR="00C73B16" w:rsidRPr="005A6E69" w:rsidRDefault="00C73B16" w:rsidP="00F819BE">
            <w:pPr>
              <w:pStyle w:val="Level3"/>
            </w:pPr>
            <w:r w:rsidRPr="005A6E69">
              <w:t>Civil rights</w:t>
            </w:r>
          </w:p>
          <w:p w:rsidR="00C73B16" w:rsidRPr="005A6E69" w:rsidRDefault="009F6918" w:rsidP="00F819BE">
            <w:pPr>
              <w:pStyle w:val="Level3"/>
            </w:pPr>
            <w:r>
              <w:t>S</w:t>
            </w:r>
            <w:r w:rsidR="00C73B16" w:rsidRPr="005A6E69">
              <w:t>moking</w:t>
            </w:r>
            <w:r w:rsidR="009E42FF">
              <w:t xml:space="preserve"> </w:t>
            </w:r>
            <w:r>
              <w:t>(cigarettes, and m</w:t>
            </w:r>
            <w:r w:rsidR="009E42FF">
              <w:t>arijuana</w:t>
            </w:r>
            <w:r>
              <w:t>)</w:t>
            </w:r>
          </w:p>
          <w:p w:rsidR="00C73B16" w:rsidRPr="005A6E69" w:rsidRDefault="00C73B16" w:rsidP="00F819BE">
            <w:pPr>
              <w:pStyle w:val="Level3"/>
            </w:pPr>
            <w:r w:rsidRPr="005A6E69">
              <w:t>Car safety</w:t>
            </w:r>
          </w:p>
          <w:p w:rsidR="00C73B16" w:rsidRPr="005A6E69" w:rsidRDefault="009E42FF" w:rsidP="00F819BE">
            <w:pPr>
              <w:pStyle w:val="Level3"/>
            </w:pPr>
            <w:r>
              <w:t xml:space="preserve">Violence and </w:t>
            </w:r>
            <w:proofErr w:type="spellStart"/>
            <w:r>
              <w:t>Discrimintation</w:t>
            </w:r>
            <w:proofErr w:type="spellEnd"/>
            <w:r>
              <w:t xml:space="preserve"> Against Woman</w:t>
            </w:r>
          </w:p>
          <w:p w:rsidR="00C73B16" w:rsidRPr="005A6E69" w:rsidRDefault="00C73B16" w:rsidP="00F819BE">
            <w:pPr>
              <w:pStyle w:val="Level3"/>
            </w:pPr>
            <w:r w:rsidRPr="005A6E69">
              <w:t>PTSD</w:t>
            </w:r>
          </w:p>
          <w:p w:rsidR="00C73B16" w:rsidRDefault="00C73B16" w:rsidP="00F819BE">
            <w:pPr>
              <w:pStyle w:val="Level3"/>
            </w:pPr>
            <w:r w:rsidRPr="005A6E69">
              <w:t>Marriage equality</w:t>
            </w:r>
          </w:p>
          <w:p w:rsidR="009E42FF" w:rsidRDefault="009E42FF" w:rsidP="00F819BE">
            <w:pPr>
              <w:pStyle w:val="Level3"/>
            </w:pPr>
            <w:r>
              <w:t>Gun Violence</w:t>
            </w:r>
          </w:p>
          <w:p w:rsidR="009E42FF" w:rsidRPr="005A6E69" w:rsidRDefault="009E42FF" w:rsidP="00F819BE">
            <w:pPr>
              <w:pStyle w:val="Level3"/>
            </w:pPr>
            <w:r>
              <w:t>Immigration</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9F6918">
            <w:pPr>
              <w:pStyle w:val="Level1"/>
            </w:pPr>
            <w:r w:rsidRPr="005A6E69">
              <w:t xml:space="preserve">Reforming the Budget: </w:t>
            </w:r>
            <w:r w:rsidR="009F6918">
              <w:t>3</w:t>
            </w:r>
            <w:r w:rsidR="009F6918" w:rsidRPr="009F6918">
              <w:rPr>
                <w:vertAlign w:val="superscript"/>
              </w:rPr>
              <w:t>rd</w:t>
            </w:r>
            <w:r w:rsidR="009F6918">
              <w:t xml:space="preserve"> assignment due, and i</w:t>
            </w:r>
            <w:r w:rsidRPr="005A6E69">
              <w:t>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bl>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859D3" w:rsidRDefault="00D859D3">
      <w:pPr>
        <w:rPr>
          <w:rFonts w:ascii="Arial" w:eastAsia="Times New Roman" w:hAnsi="Arial" w:cs="Times New Roman"/>
          <w:b/>
          <w:bCs/>
          <w:smallCaps/>
          <w:color w:val="C00000"/>
          <w:szCs w:val="24"/>
        </w:rPr>
      </w:pPr>
      <w:r>
        <w:rPr>
          <w:b/>
          <w:bCs/>
          <w:smallCaps/>
          <w:color w:val="C00000"/>
        </w:rPr>
        <w:br w:type="page"/>
      </w: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Conceptual framework:  the ongoing effort to create</w:t>
      </w:r>
      <w:r w:rsidR="000C52B0">
        <w:t xml:space="preserve"> Adequacy, Security and Justice</w:t>
      </w:r>
      <w:r w:rsidR="00991153">
        <w:t>.</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Insurances to create security: Social Security, Disability, Unemployment, Medicare &amp; ACA</w:t>
      </w:r>
      <w:r w:rsidR="00991153">
        <w:t>.</w:t>
      </w:r>
    </w:p>
    <w:p w:rsidR="002E2B2F" w:rsidRDefault="004550FE" w:rsidP="003B2521">
      <w:pPr>
        <w:pStyle w:val="ListParagraph"/>
        <w:numPr>
          <w:ilvl w:val="1"/>
          <w:numId w:val="21"/>
        </w:numPr>
        <w:jc w:val="both"/>
      </w:pPr>
      <w:r>
        <w:t xml:space="preserve">Policies </w:t>
      </w:r>
      <w:r w:rsidR="002E2B2F">
        <w:t>to create opportunity: education</w:t>
      </w:r>
      <w:r>
        <w:t xml:space="preserve">, </w:t>
      </w:r>
      <w:r w:rsidR="0020665D">
        <w:t xml:space="preserve">child welfare, immigration, </w:t>
      </w:r>
      <w:r w:rsidR="002E2B2F">
        <w:t>taxation</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BD49A8" w:rsidRDefault="00BD49A8" w:rsidP="00BD49A8">
      <w:pPr>
        <w:pStyle w:val="ListParagraph"/>
        <w:numPr>
          <w:ilvl w:val="1"/>
          <w:numId w:val="21"/>
        </w:numPr>
        <w:jc w:val="both"/>
      </w:pPr>
      <w:r>
        <w:t>The Grand Challenges for Social Work</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0665D" w:rsidRDefault="0020665D" w:rsidP="003B2521">
      <w:pPr>
        <w:pStyle w:val="ListParagraph"/>
        <w:numPr>
          <w:ilvl w:val="0"/>
          <w:numId w:val="21"/>
        </w:numPr>
        <w:jc w:val="both"/>
      </w:pPr>
      <w:r>
        <w:t>First assignment is given out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3C58A3" w:rsidRDefault="003C58A3" w:rsidP="00E73875">
      <w:pPr>
        <w:ind w:left="360"/>
      </w:pPr>
      <w:proofErr w:type="spellStart"/>
      <w:r>
        <w:t>Sherraden</w:t>
      </w:r>
      <w:proofErr w:type="spellEnd"/>
      <w:r>
        <w:t xml:space="preserve">, M., Barth, R., Brekke, J., </w:t>
      </w:r>
      <w:r w:rsidRPr="003C58A3">
        <w:rPr>
          <w:i/>
        </w:rPr>
        <w:t>et al</w:t>
      </w:r>
      <w:r>
        <w:rPr>
          <w:i/>
        </w:rPr>
        <w:t>.</w:t>
      </w:r>
      <w:r>
        <w:t xml:space="preserve"> (2015). Social is Fundamental: Introduction and Context for Grand Challenges for Social Work. </w:t>
      </w:r>
      <w:r w:rsidRPr="003C58A3">
        <w:rPr>
          <w:i/>
        </w:rPr>
        <w:t>American Academy of Social Work &amp; Social Welfare</w:t>
      </w:r>
      <w:r>
        <w:rPr>
          <w:i/>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Default="00651610" w:rsidP="00E73875">
      <w:pPr>
        <w:ind w:left="360"/>
      </w:pPr>
      <w:r>
        <w:t>Jansson, Bruce (2016</w:t>
      </w:r>
      <w:r w:rsidR="00645C76">
        <w:t xml:space="preserve">).  </w:t>
      </w:r>
      <w:r w:rsidR="00AF006B">
        <w:t xml:space="preserve">Advancing Social Justice in 8 Policy Sectors. In </w:t>
      </w:r>
      <w:r w:rsidR="00645C76" w:rsidRPr="00E73875">
        <w:rPr>
          <w:i/>
        </w:rPr>
        <w:t>Social Welfare Policy and Advo</w:t>
      </w:r>
      <w:r w:rsidR="00782FC1">
        <w:rPr>
          <w:i/>
        </w:rPr>
        <w:t>cacy: Advancing Social Justice t</w:t>
      </w:r>
      <w:r w:rsidR="00645C76" w:rsidRPr="00E73875">
        <w:rPr>
          <w:i/>
        </w:rPr>
        <w:t xml:space="preserve">hrough Eight Policy Sectors </w:t>
      </w:r>
      <w:r w:rsidR="00645C76" w:rsidRPr="00645C76">
        <w:t>(</w:t>
      </w:r>
      <w:r w:rsidR="00AF006B">
        <w:t xml:space="preserve">chapter 1, pp 2 – </w:t>
      </w:r>
      <w:r w:rsidR="00664D66">
        <w:t>26</w:t>
      </w:r>
      <w:r w:rsidR="00AF006B">
        <w:t xml:space="preserve">). </w:t>
      </w:r>
      <w:r w:rsidR="00645C76">
        <w:t xml:space="preserve"> Los Angeles, CA: Sage. </w:t>
      </w:r>
    </w:p>
    <w:p w:rsidR="00E73875" w:rsidRDefault="00E73875" w:rsidP="00E73875">
      <w:pPr>
        <w:ind w:firstLine="360"/>
        <w:contextualSpacing/>
      </w:pPr>
    </w:p>
    <w:p w:rsidR="007469BC" w:rsidRDefault="007469BC" w:rsidP="00E73875">
      <w:pPr>
        <w:ind w:firstLine="360"/>
        <w:contextualSpacing/>
      </w:pPr>
    </w:p>
    <w:p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xamine (</w:t>
      </w:r>
      <w:proofErr w:type="spellStart"/>
      <w:r>
        <w:t>i</w:t>
      </w:r>
      <w:proofErr w:type="spellEnd"/>
      <w:r>
        <w:t xml:space="preserve">)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lastRenderedPageBreak/>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651610" w:rsidP="00AF006B">
      <w:pPr>
        <w:pStyle w:val="ListParagraph"/>
        <w:rPr>
          <w:i/>
        </w:rPr>
      </w:pPr>
      <w:r>
        <w:t>Jansson, Bruce (2016</w:t>
      </w:r>
      <w:r w:rsidR="00AF006B">
        <w:t xml:space="preserve">).  </w:t>
      </w:r>
      <w:r w:rsidR="00AF006B" w:rsidRPr="00EC74FB">
        <w:t>Becoming Policy Advocates in the Safety Net Sector</w:t>
      </w:r>
      <w:r w:rsidR="00AF006B">
        <w:t xml:space="preserve">. In </w:t>
      </w:r>
      <w:r w:rsidR="00AF006B" w:rsidRPr="00212684">
        <w:rPr>
          <w:i/>
        </w:rPr>
        <w:t>Social Welfare Policy and Advo</w:t>
      </w:r>
      <w:r w:rsidR="00782FC1">
        <w:rPr>
          <w:i/>
        </w:rPr>
        <w:t>cacy: Advancing Social Justice t</w:t>
      </w:r>
      <w:r w:rsidR="00AF006B" w:rsidRPr="00212684">
        <w:rPr>
          <w:i/>
        </w:rPr>
        <w:t xml:space="preserve">hrough Eight Policy Sectors </w:t>
      </w:r>
      <w:r w:rsidR="00AF006B" w:rsidRPr="00645C76">
        <w:t>(</w:t>
      </w:r>
      <w:r w:rsidR="00AF006B">
        <w:t xml:space="preserve">chapter 9, pp </w:t>
      </w:r>
      <w:r w:rsidR="00664D66">
        <w:t>245</w:t>
      </w:r>
      <w:r w:rsidR="00AF006B">
        <w:t xml:space="preserve"> – </w:t>
      </w:r>
      <w:r w:rsidR="00664D66">
        <w:t>287</w:t>
      </w:r>
      <w:r w:rsidR="00AF006B">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proofErr w:type="spellStart"/>
      <w:r>
        <w:t>ie</w:t>
      </w:r>
      <w:proofErr w:type="spellEnd"/>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p w:rsidR="007469BC" w:rsidRDefault="007469BC"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0665D" w:rsidRDefault="0020665D" w:rsidP="00C808FB">
      <w:pPr>
        <w:pStyle w:val="ListParagraph"/>
        <w:numPr>
          <w:ilvl w:val="0"/>
          <w:numId w:val="6"/>
        </w:numPr>
      </w:pPr>
      <w:r>
        <w:t>The first assignment is due</w:t>
      </w:r>
    </w:p>
    <w:p w:rsidR="002E2B2F" w:rsidRPr="004850E4" w:rsidRDefault="002E2B2F" w:rsidP="00C808FB">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rsidR="002E2B2F" w:rsidRDefault="00980524" w:rsidP="002E2B2F">
      <w:pPr>
        <w:ind w:firstLine="720"/>
      </w:pPr>
      <w:r>
        <w:rPr>
          <w:b/>
          <w:u w:val="single"/>
        </w:rPr>
        <w:lastRenderedPageBreak/>
        <w:t xml:space="preserve">Required </w:t>
      </w:r>
      <w:r w:rsidR="002E2B2F" w:rsidRPr="00EC74FB">
        <w:rPr>
          <w:b/>
          <w:u w:val="single"/>
        </w:rPr>
        <w:t>Readings</w:t>
      </w:r>
      <w:r w:rsidR="002E2B2F">
        <w:t>:</w:t>
      </w:r>
    </w:p>
    <w:p w:rsidR="00980524" w:rsidRPr="00FF6410" w:rsidRDefault="00651610" w:rsidP="00980524">
      <w:pPr>
        <w:pStyle w:val="ListParagraph"/>
        <w:rPr>
          <w:i/>
        </w:rPr>
      </w:pPr>
      <w:r>
        <w:t>Jansson, Bruce (2016</w:t>
      </w:r>
      <w:r w:rsidR="00980524">
        <w:t xml:space="preserve">).  </w:t>
      </w:r>
      <w:r w:rsidR="00980524" w:rsidRPr="00EC74FB">
        <w:t>Deciding When to Challenge the Status Quo</w:t>
      </w:r>
      <w:r w:rsidR="00980524">
        <w:t xml:space="preserve">. In </w:t>
      </w:r>
      <w:r w:rsidR="00980524" w:rsidRPr="00212684">
        <w:rPr>
          <w:i/>
        </w:rPr>
        <w:t>Social Welfare Policy and Advo</w:t>
      </w:r>
      <w:r w:rsidR="00782FC1">
        <w:rPr>
          <w:i/>
        </w:rPr>
        <w:t>cacy: Advancing Social Justice t</w:t>
      </w:r>
      <w:r w:rsidR="00980524" w:rsidRPr="00212684">
        <w:rPr>
          <w:i/>
        </w:rPr>
        <w:t xml:space="preserve">hrough Eight Policy Sectors </w:t>
      </w:r>
      <w:r w:rsidR="00980524" w:rsidRPr="00645C76">
        <w:t>(</w:t>
      </w:r>
      <w:r w:rsidR="00980524">
        <w:t xml:space="preserve">chapter 2, pp </w:t>
      </w:r>
      <w:r w:rsidR="00EE32F9">
        <w:t>29</w:t>
      </w:r>
      <w:r w:rsidR="00980524">
        <w:t xml:space="preserve"> – </w:t>
      </w:r>
      <w:r w:rsidR="00EE32F9">
        <w:t>53</w:t>
      </w:r>
      <w:r w:rsidR="00980524">
        <w:t xml:space="preserve">).  Los Angeles, CA: Sage. </w:t>
      </w:r>
    </w:p>
    <w:p w:rsidR="00A00AE2" w:rsidRDefault="00A00AE2" w:rsidP="00980524">
      <w:pPr>
        <w:pStyle w:val="ListParagraph"/>
      </w:pPr>
    </w:p>
    <w:p w:rsidR="00980524" w:rsidRDefault="00651610" w:rsidP="00980524">
      <w:pPr>
        <w:pStyle w:val="ListParagraph"/>
      </w:pPr>
      <w:r>
        <w:t>Jansson, Bruce (2016</w:t>
      </w:r>
      <w:r w:rsidR="00980524">
        <w:t xml:space="preserve">).  </w:t>
      </w:r>
      <w:r w:rsidR="00980524" w:rsidRPr="00EC74FB">
        <w:t>A Case Example of Mezzo Policy</w:t>
      </w:r>
      <w:r w:rsidR="00980524">
        <w:t xml:space="preserve">. In </w:t>
      </w:r>
      <w:r w:rsidR="00980524" w:rsidRPr="00212684">
        <w:rPr>
          <w:i/>
        </w:rPr>
        <w:t>Social Welfare Policy and Advo</w:t>
      </w:r>
      <w:r w:rsidR="00782FC1">
        <w:rPr>
          <w:i/>
        </w:rPr>
        <w:t>cacy: Advancing Social Justice t</w:t>
      </w:r>
      <w:r w:rsidR="00980524" w:rsidRPr="00212684">
        <w:rPr>
          <w:i/>
        </w:rPr>
        <w:t xml:space="preserve">hrough Eight Policy Sectors </w:t>
      </w:r>
      <w:r w:rsidR="00980524" w:rsidRPr="00645C76">
        <w:t>(</w:t>
      </w:r>
      <w:r w:rsidR="00980524">
        <w:t xml:space="preserve">chapter 5, pp </w:t>
      </w:r>
      <w:r w:rsidR="00EE32F9">
        <w:t>130</w:t>
      </w:r>
      <w:r w:rsidR="00980524">
        <w:t xml:space="preserve"> – </w:t>
      </w:r>
      <w:r w:rsidR="00EE32F9">
        <w:t>134</w:t>
      </w:r>
      <w:r w:rsidR="00980524">
        <w:t xml:space="preserve">).  Los Angeles, CA: Sage. </w:t>
      </w:r>
    </w:p>
    <w:p w:rsidR="00D07CED" w:rsidRDefault="00D07CED" w:rsidP="002F1D37">
      <w:pPr>
        <w:pStyle w:val="ListParagraph"/>
      </w:pPr>
    </w:p>
    <w:p w:rsidR="002F1D37" w:rsidRDefault="00651610" w:rsidP="002F1D37">
      <w:pPr>
        <w:pStyle w:val="ListParagraph"/>
      </w:pPr>
      <w:r>
        <w:t>Jansson, Bruce (2016</w:t>
      </w:r>
      <w:r w:rsidR="002F1D37">
        <w:t xml:space="preserve">).  </w:t>
      </w:r>
      <w:r w:rsidR="002F1D37" w:rsidRPr="00EC74FB">
        <w:t>A Case Example of Mezzo Policy</w:t>
      </w:r>
      <w:r w:rsidR="002F1D37">
        <w:t xml:space="preserve">. In </w:t>
      </w:r>
      <w:r w:rsidR="002F1D37" w:rsidRPr="00212684">
        <w:rPr>
          <w:i/>
        </w:rPr>
        <w:t>Social Welfare Policy and Advo</w:t>
      </w:r>
      <w:r w:rsidR="00782FC1">
        <w:rPr>
          <w:i/>
        </w:rPr>
        <w:t>cacy: Advancing Social Justice t</w:t>
      </w:r>
      <w:r w:rsidR="002F1D37" w:rsidRPr="00212684">
        <w:rPr>
          <w:i/>
        </w:rPr>
        <w:t xml:space="preserve">hrough Eight Policy Sectors </w:t>
      </w:r>
      <w:r w:rsidR="002F1D37" w:rsidRPr="00645C76">
        <w:t>(</w:t>
      </w:r>
      <w:r w:rsidR="002F1D37">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AE237B">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w:t>
      </w:r>
      <w:proofErr w:type="spellStart"/>
      <w:r>
        <w:t>i</w:t>
      </w:r>
      <w:proofErr w:type="spellEnd"/>
      <w:r>
        <w:t xml:space="preserve">) the resources </w:t>
      </w:r>
      <w:r w:rsidR="00EB7FA7">
        <w:t>which a</w:t>
      </w:r>
      <w:r>
        <w:t xml:space="preserve">re available; (ii) </w:t>
      </w:r>
      <w:r w:rsidR="00EB7FA7">
        <w:t xml:space="preserve">the application process; </w:t>
      </w:r>
      <w:r>
        <w:t xml:space="preserve">(iii) </w:t>
      </w:r>
      <w:r w:rsidR="00EB7FA7">
        <w:t xml:space="preserve">the resulting </w:t>
      </w:r>
      <w:proofErr w:type="gramStart"/>
      <w:r w:rsidR="00EB7FA7">
        <w:t>benefits</w:t>
      </w:r>
      <w:r>
        <w:t>;  and</w:t>
      </w:r>
      <w:proofErr w:type="gramEnd"/>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651610" w:rsidP="0035795B">
      <w:pPr>
        <w:pStyle w:val="ListParagraph"/>
        <w:rPr>
          <w:i/>
        </w:rPr>
      </w:pPr>
      <w:r>
        <w:t>Jansson, Bruce (2016</w:t>
      </w:r>
      <w:r w:rsidR="0035795B">
        <w:t xml:space="preserve">).  </w:t>
      </w:r>
      <w:r w:rsidR="0035795B" w:rsidRPr="00EC74FB">
        <w:t>Becoming Policy Advocates in the Gerontology Sector</w:t>
      </w:r>
      <w:r w:rsidR="0035795B">
        <w:t xml:space="preserve">. In </w:t>
      </w:r>
      <w:r w:rsidR="0035795B" w:rsidRPr="00212684">
        <w:rPr>
          <w:i/>
        </w:rPr>
        <w:t>Social Welfare Policy and Advo</w:t>
      </w:r>
      <w:r w:rsidR="00782FC1">
        <w:rPr>
          <w:i/>
        </w:rPr>
        <w:t>cacy: Advancing Social Justice t</w:t>
      </w:r>
      <w:r w:rsidR="0035795B" w:rsidRPr="00212684">
        <w:rPr>
          <w:i/>
        </w:rPr>
        <w:t xml:space="preserve">hrough Eight Policy Sectors </w:t>
      </w:r>
      <w:r w:rsidR="0035795B" w:rsidRPr="00645C76">
        <w:t>(</w:t>
      </w:r>
      <w:r w:rsidR="0035795B">
        <w:t>chapter 8, p 2</w:t>
      </w:r>
      <w:r w:rsidR="00EE32F9">
        <w:t>03</w:t>
      </w:r>
      <w:r w:rsidR="0035795B">
        <w:t xml:space="preserve"> – </w:t>
      </w:r>
      <w:r w:rsidR="00EE32F9">
        <w:t>239</w:t>
      </w:r>
      <w:r w:rsidR="0035795B">
        <w:t xml:space="preserve">).  Los Angeles, CA: Sage. </w:t>
      </w:r>
    </w:p>
    <w:p w:rsidR="0035795B" w:rsidRDefault="0035795B" w:rsidP="00E73875">
      <w:pPr>
        <w:pStyle w:val="NoSpacing"/>
        <w:spacing w:line="276" w:lineRule="auto"/>
        <w:ind w:left="720"/>
      </w:pPr>
      <w:r>
        <w:t xml:space="preserve">Stern, Mark </w:t>
      </w:r>
      <w:r w:rsidRPr="00A57CBA">
        <w:t xml:space="preserve">J. </w:t>
      </w:r>
      <w:r w:rsidR="00651610">
        <w:t>(2016</w:t>
      </w:r>
      <w:r>
        <w:t xml:space="preserve">).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p w:rsidR="007469BC" w:rsidRDefault="007469BC" w:rsidP="009852A9">
      <w:pPr>
        <w:pStyle w:val="NoSpacing"/>
        <w:spacing w:line="276" w:lineRule="auto"/>
        <w:rPr>
          <w:sz w:val="18"/>
          <w:szCs w:val="18"/>
        </w:rPr>
      </w:pPr>
    </w:p>
    <w:p w:rsidR="007469BC" w:rsidRDefault="007469BC" w:rsidP="009852A9">
      <w:pPr>
        <w:pStyle w:val="NoSpacing"/>
        <w:spacing w:line="276" w:lineRule="auto"/>
        <w:rPr>
          <w:sz w:val="18"/>
          <w:szCs w:val="18"/>
        </w:rPr>
      </w:pPr>
    </w:p>
    <w:p w:rsidR="007469BC" w:rsidRDefault="007469BC"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lastRenderedPageBreak/>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w:t>
      </w:r>
      <w:proofErr w:type="spellStart"/>
      <w:r>
        <w:t>ie</w:t>
      </w:r>
      <w:proofErr w:type="spellEnd"/>
      <w:r>
        <w:t xml:space="preserv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w:t>
      </w:r>
      <w:proofErr w:type="spellStart"/>
      <w:r>
        <w:t>i</w:t>
      </w:r>
      <w:proofErr w:type="spellEnd"/>
      <w:r>
        <w:t xml:space="preserve">) the existing program services / resources, (ii) </w:t>
      </w:r>
      <w:r w:rsidR="00361776">
        <w:t xml:space="preserve">the application </w:t>
      </w:r>
      <w:proofErr w:type="gramStart"/>
      <w:r w:rsidR="00361776">
        <w:t xml:space="preserve">process; </w:t>
      </w:r>
      <w:r>
        <w:t xml:space="preserve"> (</w:t>
      </w:r>
      <w:proofErr w:type="gramEnd"/>
      <w:r>
        <w:t xml:space="preserve">iii) </w:t>
      </w:r>
      <w:r w:rsidR="00361776">
        <w:t>the benefits</w:t>
      </w:r>
      <w:r>
        <w:t>;  and (iv) compare what expected outcomes should be vs. what</w:t>
      </w:r>
      <w:r w:rsidR="000C52B0">
        <w:t xml:space="preserve"> the actual health outcomes are.</w:t>
      </w:r>
    </w:p>
    <w:p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651610" w:rsidP="008E49FE">
      <w:pPr>
        <w:pStyle w:val="ListParagraph"/>
        <w:rPr>
          <w:i/>
        </w:rPr>
      </w:pPr>
      <w:r>
        <w:t>Jansson, Bruce (2016</w:t>
      </w:r>
      <w:r w:rsidR="008E49FE">
        <w:t xml:space="preserve">).  </w:t>
      </w:r>
      <w:r w:rsidR="008E49FE" w:rsidRPr="00EC74FB">
        <w:t>Becoming Policy Advocates in the Healthcare Sector</w:t>
      </w:r>
      <w:r w:rsidR="008E49FE">
        <w:t xml:space="preserve">. In </w:t>
      </w:r>
      <w:r w:rsidR="008E49FE" w:rsidRPr="00212684">
        <w:rPr>
          <w:i/>
        </w:rPr>
        <w:t>Social Welfare Policy and Advocacy: Advancing Social Justice</w:t>
      </w:r>
      <w:r w:rsidR="00782FC1">
        <w:rPr>
          <w:i/>
        </w:rPr>
        <w:t xml:space="preserve"> t</w:t>
      </w:r>
      <w:r w:rsidR="008E49FE" w:rsidRPr="00212684">
        <w:rPr>
          <w:i/>
        </w:rPr>
        <w:t xml:space="preserve">hrough Eight Policy Sectors </w:t>
      </w:r>
      <w:r w:rsidR="008E49FE" w:rsidRPr="00645C76">
        <w:t>(</w:t>
      </w:r>
      <w:r w:rsidR="008E49FE">
        <w:t xml:space="preserve">chapter 7, pp </w:t>
      </w:r>
      <w:r w:rsidR="00EE32F9">
        <w:t>163</w:t>
      </w:r>
      <w:r w:rsidR="008E49FE">
        <w:t xml:space="preserve"> – </w:t>
      </w:r>
      <w:r w:rsidR="00EE32F9">
        <w:t>196</w:t>
      </w:r>
      <w:r w:rsidR="008E49FE">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lastRenderedPageBreak/>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w:t>
      </w:r>
      <w:proofErr w:type="spellStart"/>
      <w:r>
        <w:t>i</w:t>
      </w:r>
      <w:proofErr w:type="spellEnd"/>
      <w:r>
        <w:t>) the existing program services / resources</w:t>
      </w:r>
      <w:r w:rsidR="00A455BD">
        <w:t>;</w:t>
      </w:r>
      <w:r>
        <w:t xml:space="preserve"> (ii) </w:t>
      </w:r>
      <w:r w:rsidR="00A455BD">
        <w:t xml:space="preserve">the application process; </w:t>
      </w:r>
      <w:r>
        <w:t>(iii) the</w:t>
      </w:r>
      <w:r w:rsidR="00A455BD">
        <w:t xml:space="preserve"> </w:t>
      </w:r>
      <w:proofErr w:type="gramStart"/>
      <w:r w:rsidR="00A455BD">
        <w:t>benefits</w:t>
      </w:r>
      <w:r>
        <w:t>;  and</w:t>
      </w:r>
      <w:proofErr w:type="gramEnd"/>
      <w:r>
        <w:t xml:space="preserve"> (iv) compare what expected outcomes should be vs. what actual health outcomes are…</w:t>
      </w:r>
    </w:p>
    <w:p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651610" w:rsidP="008E49FE">
      <w:pPr>
        <w:pStyle w:val="ListParagraph"/>
        <w:rPr>
          <w:i/>
        </w:rPr>
      </w:pPr>
      <w:r>
        <w:t>Jansson, Bruce (2016</w:t>
      </w:r>
      <w:r w:rsidR="008E49FE">
        <w:t xml:space="preserve">).  </w:t>
      </w:r>
      <w:r w:rsidR="008E49FE" w:rsidRPr="00EC74FB">
        <w:t>Becoming Policy Advocates in the Mental Health Sector</w:t>
      </w:r>
      <w:r w:rsidR="008E49FE">
        <w:t xml:space="preserve">. In </w:t>
      </w:r>
      <w:r w:rsidR="008E49FE" w:rsidRPr="00212684">
        <w:rPr>
          <w:i/>
        </w:rPr>
        <w:t>Social Welfare Policy and Advo</w:t>
      </w:r>
      <w:r w:rsidR="00782FC1">
        <w:rPr>
          <w:i/>
        </w:rPr>
        <w:t>cacy: Advancing Social Justice t</w:t>
      </w:r>
      <w:r w:rsidR="008E49FE" w:rsidRPr="00212684">
        <w:rPr>
          <w:i/>
        </w:rPr>
        <w:t xml:space="preserve">hrough Eight Policy Sectors </w:t>
      </w:r>
      <w:r w:rsidR="008E49FE" w:rsidRPr="00645C76">
        <w:t>(</w:t>
      </w:r>
      <w:r w:rsidR="008E49FE">
        <w:t xml:space="preserve">chapter 10, pp </w:t>
      </w:r>
      <w:r w:rsidR="00EE32F9">
        <w:t>291</w:t>
      </w:r>
      <w:r w:rsidR="008E49FE">
        <w:t xml:space="preserve"> – </w:t>
      </w:r>
      <w:r w:rsidR="00EE32F9">
        <w:t>317</w:t>
      </w:r>
      <w:r w:rsidR="008E49FE">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proofErr w:type="spellStart"/>
      <w:r>
        <w:t>Salasin</w:t>
      </w:r>
      <w:proofErr w:type="spellEnd"/>
      <w:r>
        <w:t xml:space="preserve">, Susan:  </w:t>
      </w:r>
      <w:r w:rsidR="00F16D4F" w:rsidRPr="008E49FE">
        <w:t>Evolution of Women’s Trauma-Integrated Services at SAMHSA</w:t>
      </w:r>
      <w:r>
        <w:t xml:space="preserve">. In </w:t>
      </w:r>
      <w:r w:rsidR="00F16D4F">
        <w:t>Journal of Community Psychology, July 2005</w:t>
      </w:r>
      <w:r>
        <w:t>.</w:t>
      </w:r>
    </w:p>
    <w:p w:rsidR="00E14358" w:rsidRDefault="00E14358" w:rsidP="008E49FE">
      <w:pPr>
        <w:pStyle w:val="NoSpacing"/>
        <w:ind w:left="720"/>
      </w:pPr>
    </w:p>
    <w:p w:rsidR="00E14358" w:rsidRDefault="00E14358" w:rsidP="008E49FE">
      <w:pPr>
        <w:pStyle w:val="NoSpacing"/>
        <w:ind w:left="720"/>
      </w:pPr>
      <w:r>
        <w:rPr>
          <w:b/>
          <w:u w:val="single"/>
        </w:rPr>
        <w:t>Recommended Reading</w:t>
      </w:r>
    </w:p>
    <w:p w:rsidR="00E14358" w:rsidRDefault="00E14358" w:rsidP="008E49FE">
      <w:pPr>
        <w:pStyle w:val="NoSpacing"/>
        <w:ind w:left="720"/>
      </w:pPr>
      <w:r>
        <w:t>Roth, Alisa. (2018). Insane: America’s Criminal Treatment of Mental Illness. New York, NY: Basic Books</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include as a case study the Bush administration</w:t>
      </w:r>
      <w:r w:rsidR="00FB2703">
        <w:t xml:space="preserve">’s </w:t>
      </w:r>
      <w:r>
        <w:t>expansion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w:t>
      </w:r>
      <w:r w:rsidR="00FB2703">
        <w:t>i.e.</w:t>
      </w:r>
      <w:r>
        <w:t xml:space="preserv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w:t>
      </w:r>
      <w:r w:rsidR="0020665D">
        <w:t xml:space="preserve"> prior to </w:t>
      </w:r>
      <w:r w:rsidR="003E04CE">
        <w:t>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20665D" w:rsidP="003B2521">
      <w:pPr>
        <w:pStyle w:val="ListParagraph"/>
        <w:numPr>
          <w:ilvl w:val="0"/>
          <w:numId w:val="17"/>
        </w:numPr>
      </w:pPr>
      <w:r>
        <w:t>Second assignment is due; s</w:t>
      </w:r>
      <w:r w:rsidR="004850E4">
        <w:t xml:space="preserve">tudents informally share their </w:t>
      </w:r>
      <w:r w:rsidR="00AC0737">
        <w:t xml:space="preserve">policy, </w:t>
      </w:r>
      <w:r>
        <w:t xml:space="preserve">advocacy </w:t>
      </w:r>
      <w:r w:rsidR="00AC0737">
        <w:t>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w:t>
      </w:r>
      <w:r w:rsidR="00AE237B">
        <w:rPr>
          <w:i/>
        </w:rPr>
        <w:t>g</w:t>
      </w:r>
      <w:r w:rsidRPr="00E25EFF">
        <w:rPr>
          <w:i/>
        </w:rPr>
        <w:t>ue</w:t>
      </w:r>
      <w:r>
        <w:t>,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0665D" w:rsidRDefault="00216321" w:rsidP="00216321">
      <w:pPr>
        <w:pStyle w:val="NoSpacing"/>
        <w:ind w:firstLine="720"/>
      </w:pPr>
      <w:r w:rsidRPr="00EC74FB">
        <w:rPr>
          <w:b/>
          <w:u w:val="single"/>
        </w:rPr>
        <w:t>Re</w:t>
      </w:r>
      <w:r w:rsidR="00791165">
        <w:rPr>
          <w:b/>
          <w:u w:val="single"/>
        </w:rPr>
        <w:t>quired Re</w:t>
      </w:r>
      <w:r w:rsidRPr="00EC74FB">
        <w:rPr>
          <w:b/>
          <w:u w:val="single"/>
        </w:rPr>
        <w:t>ading</w:t>
      </w:r>
      <w:r w:rsidR="0020665D">
        <w:rPr>
          <w:b/>
          <w:u w:val="single"/>
        </w:rPr>
        <w:t>s</w:t>
      </w:r>
      <w:r w:rsidRPr="00EC74FB">
        <w:t>:</w:t>
      </w:r>
    </w:p>
    <w:p w:rsidR="00216321" w:rsidRPr="00EC74FB" w:rsidRDefault="009852A9" w:rsidP="00216321">
      <w:pPr>
        <w:pStyle w:val="NoSpacing"/>
        <w:ind w:firstLine="720"/>
      </w:pPr>
      <w:r w:rsidRPr="00EC74FB">
        <w:tab/>
      </w:r>
    </w:p>
    <w:p w:rsidR="00216321" w:rsidRPr="00EC74FB" w:rsidRDefault="0020665D" w:rsidP="00216321">
      <w:pPr>
        <w:pStyle w:val="NoSpacing"/>
        <w:ind w:firstLine="720"/>
      </w:pPr>
      <w:r>
        <w:t xml:space="preserve">Gladwell, Malcom. (2009, May 11). How David Beats Goliath: When underdogs break the rules. </w:t>
      </w:r>
      <w:r w:rsidRPr="0020665D">
        <w:rPr>
          <w:i/>
        </w:rPr>
        <w:t>The New Yorker.</w:t>
      </w:r>
    </w:p>
    <w:p w:rsidR="0020665D" w:rsidRDefault="0020665D" w:rsidP="00791165">
      <w:pPr>
        <w:pStyle w:val="ListParagraph"/>
      </w:pPr>
    </w:p>
    <w:p w:rsidR="00791165" w:rsidRPr="00FF6410" w:rsidRDefault="00651610" w:rsidP="00791165">
      <w:pPr>
        <w:pStyle w:val="ListParagraph"/>
        <w:rPr>
          <w:i/>
        </w:rPr>
      </w:pPr>
      <w:r>
        <w:t>Jansson, Bruce (2016</w:t>
      </w:r>
      <w:r w:rsidR="00791165">
        <w:t xml:space="preserve">).  </w:t>
      </w:r>
      <w:r w:rsidR="00791165" w:rsidRPr="00EC74FB">
        <w:t>Initiating Policy Advocacy at Three Levels</w:t>
      </w:r>
      <w:r w:rsidR="00791165">
        <w:t xml:space="preserve">. 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3, pp </w:t>
      </w:r>
      <w:r w:rsidR="00EE32F9">
        <w:t>5</w:t>
      </w:r>
      <w:r w:rsidR="00791165">
        <w:t xml:space="preserve">8 – </w:t>
      </w:r>
      <w:r w:rsidR="00EE32F9">
        <w:t>73</w:t>
      </w:r>
      <w:r w:rsidR="00791165">
        <w:t xml:space="preserve">).  Los Angeles, CA: Sage. </w:t>
      </w:r>
    </w:p>
    <w:p w:rsidR="00CE1F94" w:rsidRDefault="009852A9" w:rsidP="004F0FC8">
      <w:pPr>
        <w:pStyle w:val="NoSpacing"/>
      </w:pPr>
      <w:r w:rsidRPr="00EC74FB">
        <w:tab/>
      </w:r>
      <w:r w:rsidR="00216321" w:rsidRPr="00EC74FB">
        <w:tab/>
      </w:r>
    </w:p>
    <w:p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0665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w:t>
            </w:r>
            <w:r w:rsidR="0020665D">
              <w:rPr>
                <w:rFonts w:ascii="Times New Roman" w:hAnsi="Times New Roman"/>
                <w:b/>
                <w:snapToGrid w:val="0"/>
                <w:color w:val="FFFFFF"/>
                <w:sz w:val="24"/>
                <w:szCs w:val="24"/>
              </w:rPr>
              <w:t>, Immigration,</w:t>
            </w:r>
            <w:r>
              <w:rPr>
                <w:rFonts w:ascii="Times New Roman" w:hAnsi="Times New Roman"/>
                <w:b/>
                <w:snapToGrid w:val="0"/>
                <w:color w:val="FFFFFF"/>
                <w:sz w:val="24"/>
                <w:szCs w:val="24"/>
              </w:rPr>
              <w:t xml:space="preserve"> Child</w:t>
            </w:r>
            <w:r w:rsidR="0020665D">
              <w:rPr>
                <w:rFonts w:ascii="Times New Roman" w:hAnsi="Times New Roman"/>
                <w:b/>
                <w:snapToGrid w:val="0"/>
                <w:color w:val="FFFFFF"/>
                <w:sz w:val="24"/>
                <w:szCs w:val="24"/>
              </w:rPr>
              <w:t xml:space="preserve">ren </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20665D">
        <w:t>, and/or child welfare system; and/or immigration system</w:t>
      </w:r>
      <w:r>
        <w:t>.</w:t>
      </w:r>
      <w:r w:rsidR="004F0FC8">
        <w:t xml:space="preserve"> Assess </w:t>
      </w:r>
      <w:r>
        <w:t>(</w:t>
      </w:r>
      <w:proofErr w:type="spellStart"/>
      <w:r>
        <w:t>i</w:t>
      </w:r>
      <w:proofErr w:type="spellEnd"/>
      <w:r>
        <w:t xml:space="preserv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success;</w:t>
      </w:r>
      <w:r>
        <w:t xml:space="preserve"> </w:t>
      </w:r>
      <w:r w:rsidR="0020665D">
        <w:t xml:space="preserve">immigration policy;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lastRenderedPageBreak/>
        <w:t>Examine and discuss the role that social workers do and should play in these various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651610" w:rsidP="00791165">
      <w:pPr>
        <w:pStyle w:val="ListParagraph"/>
      </w:pPr>
      <w:r>
        <w:t>Jansson, Bruce (2016</w:t>
      </w:r>
      <w:r w:rsidR="00791165">
        <w:t xml:space="preserve">).  </w:t>
      </w:r>
      <w:r w:rsidR="00791165" w:rsidRPr="00EC74FB">
        <w:t>Becoming Policy Advocates in the Child and Family Sector</w:t>
      </w:r>
      <w:r w:rsidR="00791165">
        <w:t xml:space="preserve">. In </w:t>
      </w:r>
      <w:r w:rsidR="00791165" w:rsidRPr="00212684">
        <w:rPr>
          <w:i/>
        </w:rPr>
        <w:t>Social Welfare Policy and Advo</w:t>
      </w:r>
      <w:r w:rsidR="00782FC1">
        <w:rPr>
          <w:i/>
        </w:rPr>
        <w:t>cacy: Advancing Social Justice t</w:t>
      </w:r>
      <w:r w:rsidR="00791165" w:rsidRPr="00212684">
        <w:rPr>
          <w:i/>
        </w:rPr>
        <w:t xml:space="preserve">hrough Eight Policy Sectors </w:t>
      </w:r>
      <w:r w:rsidR="00791165" w:rsidRPr="00645C76">
        <w:t>(</w:t>
      </w:r>
      <w:r w:rsidR="00791165">
        <w:t xml:space="preserve">chapter 11, pp </w:t>
      </w:r>
      <w:r w:rsidR="00EE32F9">
        <w:t>323</w:t>
      </w:r>
      <w:r w:rsidR="00791165">
        <w:t xml:space="preserve"> – </w:t>
      </w:r>
      <w:r w:rsidR="00EE32F9">
        <w:t>328, and 333-357</w:t>
      </w:r>
      <w:r w:rsidR="00791165">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Jansson, Bruc</w:t>
      </w:r>
      <w:r w:rsidR="00651610">
        <w:t>e (2016</w:t>
      </w:r>
      <w:r>
        <w:t xml:space="preserve">).  </w:t>
      </w:r>
      <w:r w:rsidRPr="00EC74FB">
        <w:t>Becoming Policy Advocates in Education Sector</w:t>
      </w:r>
      <w:r>
        <w:t xml:space="preserve">. In </w:t>
      </w:r>
      <w:r w:rsidRPr="00212684">
        <w:rPr>
          <w:i/>
        </w:rPr>
        <w:t>Social Welfare Policy and Advo</w:t>
      </w:r>
      <w:r w:rsidR="00782FC1">
        <w:rPr>
          <w:i/>
        </w:rPr>
        <w:t>cacy: Advancing Social Justice t</w:t>
      </w:r>
      <w:r w:rsidRPr="00212684">
        <w:rPr>
          <w:i/>
        </w:rPr>
        <w:t xml:space="preserve">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w:t>
            </w:r>
            <w:r w:rsidR="0020665D">
              <w:rPr>
                <w:rFonts w:ascii="Times New Roman" w:hAnsi="Times New Roman"/>
                <w:b/>
                <w:snapToGrid w:val="0"/>
                <w:color w:val="FFFFFF"/>
                <w:sz w:val="24"/>
                <w:szCs w:val="24"/>
              </w:rPr>
              <w:t>, Immigration</w:t>
            </w:r>
            <w:r w:rsidR="00AC0737">
              <w:rPr>
                <w:rFonts w:ascii="Times New Roman" w:hAnsi="Times New Roman"/>
                <w:b/>
                <w:snapToGrid w:val="0"/>
                <w:color w:val="FFFFFF"/>
                <w:sz w:val="24"/>
                <w:szCs w:val="24"/>
              </w:rPr>
              <w:t xml:space="preserve">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r w:rsidR="0020665D">
        <w:t>; DCFS funding</w:t>
      </w:r>
      <w:r w:rsidR="004F0FC8">
        <w:t>.</w:t>
      </w:r>
    </w:p>
    <w:p w:rsidR="00216321" w:rsidRDefault="00216321" w:rsidP="003B2521">
      <w:pPr>
        <w:pStyle w:val="ListParagraph"/>
        <w:numPr>
          <w:ilvl w:val="0"/>
          <w:numId w:val="10"/>
        </w:numPr>
      </w:pPr>
      <w:r>
        <w:t xml:space="preserve">Discuss the justness of </w:t>
      </w:r>
      <w:r w:rsidR="0020665D">
        <w:t xml:space="preserve">child welfare and/or </w:t>
      </w:r>
      <w:r>
        <w:t xml:space="preserve">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651610" w:rsidP="00791165">
      <w:pPr>
        <w:pStyle w:val="ListParagraph"/>
      </w:pPr>
      <w:r>
        <w:t>Jansson, Bruce (2016</w:t>
      </w:r>
      <w:r w:rsidR="00791165">
        <w:t xml:space="preserve">).  </w:t>
      </w:r>
      <w:r w:rsidR="00791165" w:rsidRPr="003B2521">
        <w:t>Understanding the political economy of the child and family sector</w:t>
      </w:r>
      <w:r w:rsidR="00791165">
        <w:t xml:space="preserve">. In </w:t>
      </w:r>
      <w:r w:rsidR="00791165" w:rsidRPr="00212684">
        <w:rPr>
          <w:i/>
        </w:rPr>
        <w:t>Social Welfare Policy and Advo</w:t>
      </w:r>
      <w:r w:rsidR="00782FC1">
        <w:rPr>
          <w:i/>
        </w:rPr>
        <w:t>cacy: Advancing So</w:t>
      </w:r>
      <w:r w:rsidR="00542F71">
        <w:rPr>
          <w:i/>
        </w:rPr>
        <w:t>cial Justice t</w:t>
      </w:r>
      <w:r w:rsidR="00791165" w:rsidRPr="00212684">
        <w:rPr>
          <w:i/>
        </w:rPr>
        <w:t xml:space="preserve">hrough Eight Policy Sectors </w:t>
      </w:r>
      <w:r w:rsidR="00791165" w:rsidRPr="00645C76">
        <w:t>(</w:t>
      </w:r>
      <w:r w:rsidR="00791165">
        <w:t xml:space="preserve">chapter 11, pp </w:t>
      </w:r>
      <w:r w:rsidR="00EE32F9">
        <w:t>328</w:t>
      </w:r>
      <w:r w:rsidR="00791165">
        <w:t xml:space="preserve"> – </w:t>
      </w:r>
      <w:r w:rsidR="00EE32F9">
        <w:t>33</w:t>
      </w:r>
      <w:r w:rsidR="00791165">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0665D">
              <w:rPr>
                <w:rFonts w:ascii="Times New Roman" w:eastAsia="Times New Roman" w:hAnsi="Times New Roman" w:cs="Times New Roman"/>
                <w:b/>
                <w:snapToGrid w:val="0"/>
                <w:color w:val="FFFFFF"/>
                <w:sz w:val="24"/>
                <w:szCs w:val="24"/>
              </w:rPr>
              <w:t xml:space="preserve">Do </w:t>
            </w:r>
            <w:r>
              <w:rPr>
                <w:rFonts w:ascii="Times New Roman" w:hAnsi="Times New Roman"/>
                <w:b/>
                <w:snapToGrid w:val="0"/>
                <w:color w:val="FFFFFF"/>
                <w:sz w:val="24"/>
                <w:szCs w:val="24"/>
              </w:rPr>
              <w:t>Taxation and Government Budget Priorities</w:t>
            </w:r>
            <w:r w:rsidR="0020665D">
              <w:rPr>
                <w:rFonts w:ascii="Times New Roman" w:hAnsi="Times New Roman"/>
                <w:b/>
                <w:snapToGrid w:val="0"/>
                <w:color w:val="FFFFFF"/>
                <w:sz w:val="24"/>
                <w:szCs w:val="24"/>
              </w:rPr>
              <w:t xml:space="preserve"> Create Opportunity?</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lastRenderedPageBreak/>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xml:space="preserve">; </w:t>
      </w:r>
      <w:r w:rsidR="007933F9">
        <w:t xml:space="preserve">the Republican tax reform of 2017; </w:t>
      </w:r>
      <w:r w:rsidR="000826CC">
        <w:t>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proofErr w:type="spellStart"/>
      <w:r w:rsidRPr="00EC74FB">
        <w:t>Musell</w:t>
      </w:r>
      <w:proofErr w:type="spellEnd"/>
      <w:r w:rsidRPr="00EC74FB">
        <w:t>,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2D523B" w:rsidRDefault="00216321" w:rsidP="009E42FF">
      <w:pPr>
        <w:pStyle w:val="NoSpacing"/>
        <w:spacing w:line="276" w:lineRule="auto"/>
        <w:rPr>
          <w:sz w:val="18"/>
          <w:szCs w:val="18"/>
        </w:rPr>
      </w:pPr>
      <w:r>
        <w:rPr>
          <w:sz w:val="18"/>
          <w:szCs w:val="18"/>
        </w:rPr>
        <w:tab/>
      </w:r>
    </w:p>
    <w:p w:rsidR="009E42FF" w:rsidRPr="003B2521" w:rsidRDefault="009E42FF" w:rsidP="009E42FF">
      <w:pPr>
        <w:pStyle w:val="NoSpacing"/>
        <w:spacing w:line="276" w:lineRule="auto"/>
        <w:rPr>
          <w:b/>
          <w:u w:val="single"/>
        </w:rPr>
      </w:pPr>
      <w:r w:rsidRPr="003B2521">
        <w:rPr>
          <w:b/>
          <w:u w:val="single"/>
        </w:rPr>
        <w:t>Topics</w:t>
      </w:r>
      <w:r>
        <w:rPr>
          <w:b/>
          <w:u w:val="single"/>
        </w:rPr>
        <w:t xml:space="preserve"> encompass</w:t>
      </w:r>
      <w:r w:rsidRPr="003B2521">
        <w:rPr>
          <w:b/>
          <w:u w:val="single"/>
        </w:rPr>
        <w:t>:</w:t>
      </w:r>
    </w:p>
    <w:p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rsidR="009E42FF" w:rsidRDefault="009E42FF" w:rsidP="009E42FF">
      <w:pPr>
        <w:pStyle w:val="ListParagraph"/>
        <w:numPr>
          <w:ilvl w:val="0"/>
          <w:numId w:val="11"/>
        </w:numPr>
      </w:pPr>
      <w:r>
        <w:t xml:space="preserve">This class will explore a number of these successful efforts, most of which were led and advanced by different sectors of society working complimentarily over time, and accomplished through an interplay of activism, corporate efforts, government regulation, public education, and media coverage. </w:t>
      </w:r>
    </w:p>
    <w:p w:rsidR="009E42FF" w:rsidRDefault="009E42FF" w:rsidP="009E42FF">
      <w:pPr>
        <w:pStyle w:val="ListParagraph"/>
        <w:numPr>
          <w:ilvl w:val="0"/>
          <w:numId w:val="11"/>
        </w:numPr>
      </w:pPr>
      <w:r>
        <w:t xml:space="preserve">This class will also prepare students substantively for the School’s </w:t>
      </w:r>
      <w:r w:rsidRPr="00465C4E">
        <w:rPr>
          <w:b/>
        </w:rPr>
        <w:t>All School Day</w:t>
      </w:r>
      <w:r>
        <w:t>, to be held the following February. All School Day brings together a diverse set of stakeholders to explore current policy issues in a unique way. Since 1993, this unique event brings together students, faculty members and community leaders to exchange ideas on the chosen issue, and to learn how to better communicate across all of our races, genders, sexual orientations, religions, age, social class and disabilities.</w:t>
      </w:r>
    </w:p>
    <w:p w:rsidR="009E42FF" w:rsidRDefault="009E42FF" w:rsidP="009E42FF">
      <w:pPr>
        <w:pStyle w:val="ListParagraph"/>
        <w:numPr>
          <w:ilvl w:val="0"/>
          <w:numId w:val="11"/>
        </w:numPr>
      </w:pPr>
      <w:r>
        <w:t xml:space="preserve">Materials and case studies used will reflect current events and All School Day topics, and </w:t>
      </w:r>
      <w:proofErr w:type="gramStart"/>
      <w:r>
        <w:t>could  include</w:t>
      </w:r>
      <w:proofErr w:type="gramEnd"/>
      <w:r>
        <w:t xml:space="preserve"> civil rights; gun violence; </w:t>
      </w:r>
      <w:r w:rsidR="007933F9">
        <w:t xml:space="preserve">sugar and soda; </w:t>
      </w:r>
      <w:r>
        <w:t>immigration policy; marriage equality; recreational marijuana; PTSD; and/or the recent evolution of criminal justice policy.</w:t>
      </w:r>
    </w:p>
    <w:p w:rsidR="00216321" w:rsidRPr="003B2521" w:rsidRDefault="00216321" w:rsidP="009E42FF">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469BC" w:rsidRDefault="007469BC" w:rsidP="006A339E">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2D523B" w:rsidRDefault="002D523B" w:rsidP="002D523B">
      <w:pPr>
        <w:pStyle w:val="ListParagraph"/>
        <w:ind w:left="1080"/>
      </w:pPr>
    </w:p>
    <w:p w:rsidR="009852A9" w:rsidRPr="006A339E" w:rsidRDefault="007933F9" w:rsidP="003B2521">
      <w:pPr>
        <w:pStyle w:val="ListParagraph"/>
        <w:numPr>
          <w:ilvl w:val="0"/>
          <w:numId w:val="18"/>
        </w:numPr>
        <w:ind w:left="1080"/>
      </w:pPr>
      <w:r>
        <w:t xml:space="preserve">Assignment # 3 is due, and will include in-class </w:t>
      </w:r>
      <w:r w:rsidR="009852A9" w:rsidRPr="006A339E">
        <w:t>presentations of student teams</w:t>
      </w:r>
      <w:r>
        <w:t>’ budget plans</w:t>
      </w:r>
    </w:p>
    <w:p w:rsidR="00E36F58" w:rsidRDefault="000C52B0" w:rsidP="00E36F58">
      <w:pPr>
        <w:pBdr>
          <w:bottom w:val="single" w:sz="18" w:space="1" w:color="C00000"/>
        </w:pBdr>
        <w:spacing w:after="320"/>
        <w:rPr>
          <w:rFonts w:cs="Arial"/>
          <w:b/>
          <w:bCs/>
          <w:color w:val="262626"/>
          <w:sz w:val="32"/>
          <w:szCs w:val="32"/>
        </w:rPr>
      </w:pPr>
      <w:r>
        <w:rPr>
          <w:rFonts w:ascii="Arial" w:hAnsi="Arial" w:cs="Arial"/>
          <w:b/>
          <w:bCs/>
          <w:color w:val="262626"/>
          <w:sz w:val="32"/>
          <w:szCs w:val="32"/>
        </w:rPr>
        <w:br w:type="page"/>
      </w:r>
      <w:r w:rsidR="00E36F58">
        <w:rPr>
          <w:rFonts w:cs="Arial"/>
          <w:b/>
          <w:bCs/>
          <w:color w:val="262626"/>
          <w:sz w:val="32"/>
          <w:szCs w:val="32"/>
        </w:rPr>
        <w:lastRenderedPageBreak/>
        <w:t>University Policies and Guidelines</w:t>
      </w:r>
    </w:p>
    <w:p w:rsidR="00E36F58" w:rsidRDefault="00E36F58" w:rsidP="00E36F58">
      <w:pPr>
        <w:pStyle w:val="Heading1"/>
        <w:numPr>
          <w:ilvl w:val="0"/>
          <w:numId w:val="38"/>
        </w:numPr>
      </w:pPr>
      <w:r>
        <w:t>Attendance Policy</w:t>
      </w:r>
    </w:p>
    <w:p w:rsidR="00E36F58" w:rsidRDefault="00E36F58" w:rsidP="00E36F58">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1" w:history="1">
        <w:r>
          <w:rPr>
            <w:rStyle w:val="Hyperlink"/>
            <w:color w:val="FF0000"/>
          </w:rPr>
          <w:t>xxx@usc.edu</w:t>
        </w:r>
      </w:hyperlink>
      <w:r>
        <w:t>) of any anticipated absence or reason for tardiness.</w:t>
      </w:r>
    </w:p>
    <w:p w:rsidR="00E36F58" w:rsidRDefault="00E36F58" w:rsidP="00E36F58">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rsidR="00E36F58" w:rsidRDefault="00E36F58" w:rsidP="00E36F58">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rsidR="00E36F58" w:rsidRDefault="00E36F58" w:rsidP="00E36F58">
      <w:pPr>
        <w:pStyle w:val="Heading1"/>
        <w:numPr>
          <w:ilvl w:val="0"/>
          <w:numId w:val="38"/>
        </w:numPr>
      </w:pPr>
      <w:r>
        <w:t>Academic Conduct</w:t>
      </w:r>
    </w:p>
    <w:p w:rsidR="00E36F58" w:rsidRDefault="00E36F58" w:rsidP="00E36F58">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2"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13" w:tgtFrame="_blank" w:history="1">
        <w:r>
          <w:rPr>
            <w:rStyle w:val="Hyperlink"/>
          </w:rPr>
          <w:t>http://policy.usc.edu/scientific-misconduct</w:t>
        </w:r>
      </w:hyperlink>
      <w:r>
        <w:rPr>
          <w:rFonts w:cs="Arial"/>
        </w:rPr>
        <w:t>.</w:t>
      </w:r>
    </w:p>
    <w:p w:rsidR="00E36F58" w:rsidRDefault="00E36F58" w:rsidP="00E36F58">
      <w:pPr>
        <w:pStyle w:val="Heading1"/>
        <w:numPr>
          <w:ilvl w:val="0"/>
          <w:numId w:val="38"/>
        </w:numPr>
        <w:rPr>
          <w:szCs w:val="22"/>
        </w:rPr>
      </w:pPr>
      <w:r>
        <w:rPr>
          <w:szCs w:val="22"/>
        </w:rPr>
        <w:t>Support Systems</w:t>
      </w: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rsidR="00E36F58" w:rsidRDefault="00E36F58" w:rsidP="00E36F58">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14" w:history="1">
        <w:r>
          <w:rPr>
            <w:rStyle w:val="Hyperlink"/>
            <w:szCs w:val="20"/>
          </w:rPr>
          <w:t>engemannshc.usc.edu/counseling</w:t>
        </w:r>
      </w:hyperlink>
    </w:p>
    <w:p w:rsidR="00E36F58" w:rsidRDefault="00E36F58" w:rsidP="00E36F58">
      <w:pPr>
        <w:pStyle w:val="NormalWeb"/>
        <w:spacing w:before="0" w:beforeAutospacing="0" w:after="0" w:afterAutospacing="0"/>
        <w:ind w:right="-576"/>
        <w:rPr>
          <w:rFonts w:cs="Arial"/>
          <w:b/>
          <w:bCs/>
          <w:color w:val="000000"/>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rsidR="00E36F58" w:rsidRDefault="00E36F58" w:rsidP="00E36F58">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15" w:history="1">
        <w:r>
          <w:rPr>
            <w:rStyle w:val="Hyperlink"/>
            <w:szCs w:val="20"/>
          </w:rPr>
          <w:t xml:space="preserve"> www.suicidepreventionlifeline.org</w:t>
        </w:r>
      </w:hyperlink>
    </w:p>
    <w:p w:rsidR="00E36F58" w:rsidRDefault="00E36F58" w:rsidP="00E36F58">
      <w:pPr>
        <w:pStyle w:val="NormalWeb"/>
        <w:spacing w:before="0" w:beforeAutospacing="0" w:after="0" w:afterAutospacing="0"/>
        <w:ind w:right="-576"/>
        <w:rPr>
          <w:rFonts w:cs="Arial"/>
          <w:b/>
          <w:bCs/>
          <w:color w:val="000000"/>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rsidR="00E36F58" w:rsidRDefault="00E36F58" w:rsidP="00E36F58">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16" w:history="1">
        <w:r>
          <w:rPr>
            <w:rStyle w:val="Hyperlink"/>
            <w:szCs w:val="20"/>
          </w:rPr>
          <w:t>engemannshc.usc.edu/rsvp</w:t>
        </w:r>
      </w:hyperlink>
    </w:p>
    <w:p w:rsidR="00E36F58" w:rsidRDefault="00E36F58" w:rsidP="00E36F58">
      <w:pPr>
        <w:pStyle w:val="NormalWeb"/>
        <w:spacing w:before="0" w:beforeAutospacing="0" w:after="0" w:afterAutospacing="0"/>
        <w:ind w:right="-576"/>
        <w:rPr>
          <w:rFonts w:cs="Arial"/>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Sexual Assault Resource Center</w:t>
      </w:r>
    </w:p>
    <w:p w:rsidR="00E36F58" w:rsidRDefault="00E36F58" w:rsidP="00E36F58">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17" w:history="1">
        <w:r>
          <w:rPr>
            <w:rStyle w:val="Hyperlink"/>
            <w:szCs w:val="20"/>
          </w:rPr>
          <w:t>sarc.usc.edu</w:t>
        </w:r>
      </w:hyperlink>
    </w:p>
    <w:p w:rsidR="00E36F58" w:rsidRDefault="00E36F58" w:rsidP="00E36F58">
      <w:pPr>
        <w:pStyle w:val="NormalWeb"/>
        <w:spacing w:before="0" w:beforeAutospacing="0" w:after="0" w:afterAutospacing="0"/>
        <w:ind w:right="-576"/>
        <w:rPr>
          <w:rFonts w:cs="Arial"/>
          <w:b/>
          <w:bCs/>
          <w:color w:val="000000"/>
          <w:szCs w:val="2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rsidR="00E36F58" w:rsidRDefault="00E36F58" w:rsidP="00E36F58">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18" w:history="1">
        <w:r>
          <w:rPr>
            <w:rStyle w:val="Hyperlink"/>
            <w:szCs w:val="20"/>
          </w:rPr>
          <w:t>equity.usc.edu</w:t>
        </w:r>
      </w:hyperlink>
      <w:r>
        <w:rPr>
          <w:rStyle w:val="Hyperlink"/>
          <w:color w:val="1155CC"/>
          <w:szCs w:val="20"/>
        </w:rPr>
        <w:t xml:space="preserve"> </w:t>
      </w:r>
    </w:p>
    <w:p w:rsidR="00E36F58" w:rsidRDefault="00E36F58" w:rsidP="00E36F58">
      <w:pPr>
        <w:pStyle w:val="NormalWeb"/>
        <w:spacing w:before="0" w:beforeAutospacing="0" w:after="0" w:afterAutospacing="0"/>
        <w:ind w:right="-576"/>
        <w:rPr>
          <w:b/>
          <w:bCs/>
          <w:color w:val="000000"/>
        </w:rPr>
      </w:pPr>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t>Bias Assessment Response and Support</w:t>
      </w:r>
    </w:p>
    <w:p w:rsidR="00E36F58" w:rsidRDefault="00E36F58" w:rsidP="00E36F58">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19" w:history="1">
        <w:r>
          <w:rPr>
            <w:rStyle w:val="Hyperlink"/>
            <w:szCs w:val="20"/>
          </w:rPr>
          <w:t>studentaffairs.usc.edu/bias-assessment-response-support</w:t>
        </w:r>
      </w:hyperlink>
    </w:p>
    <w:p w:rsidR="00E36F58" w:rsidRDefault="00E36F58" w:rsidP="00E36F58">
      <w:pPr>
        <w:pStyle w:val="NormalWeb"/>
        <w:spacing w:before="0" w:beforeAutospacing="0" w:after="0" w:afterAutospacing="0"/>
        <w:ind w:right="-576"/>
        <w:rPr>
          <w:rStyle w:val="Hyperlink"/>
          <w:color w:val="1155CC"/>
          <w:szCs w:val="20"/>
        </w:rPr>
      </w:pPr>
    </w:p>
    <w:p w:rsidR="00E36F58" w:rsidRDefault="00E36F58" w:rsidP="00E36F58">
      <w:pPr>
        <w:ind w:right="-576"/>
        <w:rPr>
          <w:i/>
          <w:iCs/>
        </w:rPr>
      </w:pPr>
      <w:r>
        <w:rPr>
          <w:rFonts w:cs="Arial"/>
          <w:i/>
          <w:iCs/>
        </w:rPr>
        <w:t xml:space="preserve">The Office of Disability Services and Programs </w:t>
      </w:r>
    </w:p>
    <w:p w:rsidR="00E36F58" w:rsidRDefault="00E36F58" w:rsidP="00E36F58">
      <w:pPr>
        <w:ind w:right="-576"/>
        <w:rPr>
          <w:rFonts w:cs="Arial"/>
        </w:rPr>
      </w:pPr>
      <w:r>
        <w:rPr>
          <w:rFonts w:cs="Arial"/>
        </w:rPr>
        <w:t xml:space="preserve">Provides certification for students with disabilities and helps arrange relevant accommodations. </w:t>
      </w:r>
      <w:hyperlink r:id="rId20" w:history="1">
        <w:r>
          <w:rPr>
            <w:rStyle w:val="Hyperlink"/>
          </w:rPr>
          <w:t>dsp.usc.edu</w:t>
        </w:r>
      </w:hyperlink>
    </w:p>
    <w:p w:rsidR="00E36F58" w:rsidRDefault="00E36F58" w:rsidP="00E36F58">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rsidR="00E36F58" w:rsidRDefault="00E36F58" w:rsidP="00E36F58">
      <w:pPr>
        <w:pStyle w:val="NormalWeb"/>
        <w:spacing w:before="0" w:beforeAutospacing="0" w:after="0" w:afterAutospacing="0"/>
        <w:ind w:right="-576"/>
        <w:rPr>
          <w:rStyle w:val="Hyperlink"/>
          <w:szCs w:val="20"/>
        </w:rPr>
      </w:pPr>
      <w:r>
        <w:rPr>
          <w:rFonts w:cs="Arial"/>
          <w:color w:val="000000"/>
          <w:szCs w:val="20"/>
        </w:rPr>
        <w:t xml:space="preserve">Assists students and families in resolving complex issues adversely affecting their success as a student EX: personal, financial, and academic. </w:t>
      </w:r>
      <w:hyperlink r:id="rId21" w:history="1">
        <w:r>
          <w:rPr>
            <w:rStyle w:val="Hyperlink"/>
            <w:szCs w:val="20"/>
          </w:rPr>
          <w:t>studentaffairs.usc.edu/</w:t>
        </w:r>
        <w:proofErr w:type="spellStart"/>
        <w:r>
          <w:rPr>
            <w:rStyle w:val="Hyperlink"/>
            <w:szCs w:val="20"/>
          </w:rPr>
          <w:t>ssa</w:t>
        </w:r>
        <w:proofErr w:type="spellEnd"/>
      </w:hyperlink>
    </w:p>
    <w:p w:rsidR="00E36F58" w:rsidRPr="00E36F58" w:rsidRDefault="00E36F58" w:rsidP="00E36F58">
      <w:pPr>
        <w:pStyle w:val="NormalWeb"/>
        <w:spacing w:before="0" w:beforeAutospacing="0" w:after="0" w:afterAutospacing="0"/>
        <w:ind w:right="-576"/>
        <w:rPr>
          <w:color w:val="1155CC"/>
          <w:u w:val="single"/>
        </w:rPr>
      </w:pPr>
    </w:p>
    <w:p w:rsidR="00E36F58" w:rsidRDefault="00E36F58" w:rsidP="00E36F58">
      <w:pPr>
        <w:shd w:val="clear" w:color="auto" w:fill="FFFFFF"/>
        <w:ind w:right="-576"/>
        <w:rPr>
          <w:rFonts w:cs="Arial"/>
          <w:i/>
          <w:color w:val="222222"/>
        </w:rPr>
      </w:pPr>
      <w:r>
        <w:rPr>
          <w:rFonts w:cs="Arial"/>
          <w:i/>
          <w:color w:val="222222"/>
        </w:rPr>
        <w:t xml:space="preserve">Diversity at USC </w:t>
      </w:r>
    </w:p>
    <w:p w:rsidR="00E36F58" w:rsidRPr="00E36F58" w:rsidRDefault="00E36F58" w:rsidP="00E36F58">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2" w:history="1">
        <w:r>
          <w:rPr>
            <w:rStyle w:val="Hyperlink"/>
          </w:rPr>
          <w:t>diversity.usc.edu</w:t>
        </w:r>
      </w:hyperlink>
    </w:p>
    <w:p w:rsidR="00E36F58" w:rsidRDefault="00E36F58" w:rsidP="00E36F58">
      <w:pPr>
        <w:ind w:right="-576"/>
        <w:rPr>
          <w:rFonts w:cs="Arial"/>
        </w:rPr>
      </w:pPr>
      <w:r>
        <w:rPr>
          <w:rFonts w:cs="Arial"/>
          <w:i/>
          <w:iCs/>
        </w:rPr>
        <w:t>USC Emergency Information</w:t>
      </w:r>
    </w:p>
    <w:p w:rsidR="00E36F58" w:rsidRDefault="00E36F58" w:rsidP="00E36F58">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23" w:history="1">
        <w:r>
          <w:rPr>
            <w:rStyle w:val="Hyperlink"/>
          </w:rPr>
          <w:t>emergency.usc.edu</w:t>
        </w:r>
      </w:hyperlink>
    </w:p>
    <w:p w:rsidR="00E36F58" w:rsidRDefault="00E36F58" w:rsidP="00E36F58">
      <w:pPr>
        <w:ind w:right="-576"/>
        <w:rPr>
          <w:rFonts w:cs="Arial"/>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24" w:history="1">
        <w:r>
          <w:rPr>
            <w:rStyle w:val="Hyperlink"/>
          </w:rPr>
          <w:t>dps.usc.edu</w:t>
        </w:r>
      </w:hyperlink>
      <w:r>
        <w:rPr>
          <w:rFonts w:cs="Arial"/>
        </w:rPr>
        <w:t xml:space="preserve"> </w:t>
      </w:r>
    </w:p>
    <w:p w:rsidR="00E36F58" w:rsidRDefault="00E36F58" w:rsidP="00E36F58">
      <w:pPr>
        <w:pStyle w:val="Heading1"/>
        <w:numPr>
          <w:ilvl w:val="0"/>
          <w:numId w:val="38"/>
        </w:numPr>
      </w:pPr>
      <w:r>
        <w:t>Additional Resources</w:t>
      </w:r>
    </w:p>
    <w:p w:rsidR="00E36F58" w:rsidRDefault="00E36F58" w:rsidP="00E36F58">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E36F58" w:rsidRDefault="00E36F58" w:rsidP="00E36F58">
      <w:pPr>
        <w:pStyle w:val="Heading1"/>
        <w:numPr>
          <w:ilvl w:val="0"/>
          <w:numId w:val="38"/>
        </w:numPr>
      </w:pPr>
      <w:r>
        <w:t>Statement about Incompletes</w:t>
      </w:r>
    </w:p>
    <w:p w:rsidR="00E36F58" w:rsidRDefault="00E36F58" w:rsidP="00E36F58">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36F58" w:rsidRDefault="00E36F58" w:rsidP="00E36F58">
      <w:pPr>
        <w:pStyle w:val="Heading1"/>
        <w:numPr>
          <w:ilvl w:val="0"/>
          <w:numId w:val="38"/>
        </w:numPr>
      </w:pPr>
      <w:r>
        <w:t>Policy on Late or Make-Up Work</w:t>
      </w:r>
    </w:p>
    <w:p w:rsidR="00E36F58" w:rsidRDefault="00E36F58" w:rsidP="00E36F58">
      <w:pPr>
        <w:pStyle w:val="BodyText"/>
      </w:pPr>
      <w:r>
        <w:t>Papers are due on the day and time specified.  Extensions will be granted only for extenuating circumstances.  If the paper is late without permission, the grade will be affected.</w:t>
      </w:r>
    </w:p>
    <w:p w:rsidR="00E36F58" w:rsidRDefault="00E36F58" w:rsidP="00E36F58">
      <w:pPr>
        <w:pStyle w:val="Heading1"/>
        <w:numPr>
          <w:ilvl w:val="0"/>
          <w:numId w:val="38"/>
        </w:numPr>
      </w:pPr>
      <w:r>
        <w:t>Policy on Changes to the Syllabus and/or Course Requirements</w:t>
      </w:r>
    </w:p>
    <w:p w:rsidR="00E36F58" w:rsidRDefault="00E36F58" w:rsidP="00E36F58">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E36F58" w:rsidRDefault="00E36F58" w:rsidP="00E36F58">
      <w:pPr>
        <w:pStyle w:val="Heading1"/>
        <w:numPr>
          <w:ilvl w:val="0"/>
          <w:numId w:val="38"/>
        </w:numPr>
      </w:pPr>
      <w:r>
        <w:t>Code of Ethics of the National Association of Social Workers (Optional)</w:t>
      </w:r>
    </w:p>
    <w:p w:rsidR="00E36F58" w:rsidRDefault="00E36F58" w:rsidP="00E36F58">
      <w:pPr>
        <w:pStyle w:val="BodyText"/>
      </w:pPr>
      <w:r>
        <w:rPr>
          <w:i/>
        </w:rPr>
        <w:t xml:space="preserve">Approved by the 1996 NASW Delegate Assembly and revised by the 2017 NASW Delegate Assembly </w:t>
      </w:r>
      <w:hyperlink r:id="rId25" w:history="1">
        <w:r>
          <w:rPr>
            <w:rStyle w:val="Hyperlink"/>
            <w:i/>
          </w:rPr>
          <w:t>https://www.socialworkers.org/About/Ethics/Code-of-Ethics/Code-of-Ethics-English</w:t>
        </w:r>
      </w:hyperlink>
      <w:r>
        <w:rPr>
          <w:i/>
        </w:rPr>
        <w:t xml:space="preserve"> </w:t>
      </w:r>
    </w:p>
    <w:p w:rsidR="00E36F58" w:rsidRPr="00E36F58" w:rsidRDefault="00E36F58" w:rsidP="00E36F58">
      <w:pPr>
        <w:pStyle w:val="Heading2"/>
        <w:rPr>
          <w:color w:val="000000" w:themeColor="text1"/>
        </w:rPr>
      </w:pPr>
      <w:r w:rsidRPr="00E36F58">
        <w:rPr>
          <w:color w:val="000000" w:themeColor="text1"/>
        </w:rPr>
        <w:t>Preamble</w:t>
      </w:r>
    </w:p>
    <w:p w:rsidR="00E36F58" w:rsidRDefault="00E36F58" w:rsidP="00E36F58">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lastRenderedPageBreak/>
        <w:t xml:space="preserve">Social workers promote social justice and social change with and on behalf of clients. "Clients" is used inclusively to refer to individuals, families, groups, organizations, and communities. </w:t>
      </w:r>
      <w:proofErr w:type="gramStart"/>
      <w:r w:rsidRPr="00E36F58">
        <w:rPr>
          <w:rFonts w:ascii="Arial" w:hAnsi="Arial" w:cs="Arial"/>
          <w:sz w:val="20"/>
          <w:szCs w:val="20"/>
        </w:rPr>
        <w:t>.Social</w:t>
      </w:r>
      <w:proofErr w:type="gramEnd"/>
      <w:r w:rsidRPr="00E36F58">
        <w:rPr>
          <w:rFonts w:ascii="Arial" w:hAnsi="Arial" w:cs="Arial"/>
          <w:sz w:val="20"/>
          <w:szCs w:val="20"/>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E36F58">
        <w:rPr>
          <w:rFonts w:ascii="Arial" w:hAnsi="Arial" w:cs="Arial"/>
          <w:b/>
          <w:bCs/>
          <w:sz w:val="20"/>
          <w:szCs w:val="20"/>
        </w:rPr>
        <w:t xml:space="preserve">, </w:t>
      </w:r>
      <w:r w:rsidRPr="00E36F58">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E36F58" w:rsidRDefault="00E36F58" w:rsidP="00E36F58">
      <w:pPr>
        <w:pStyle w:val="Bullets1"/>
        <w:tabs>
          <w:tab w:val="left" w:pos="720"/>
        </w:tabs>
        <w:rPr>
          <w:sz w:val="20"/>
          <w:szCs w:val="20"/>
        </w:rPr>
      </w:pPr>
      <w:r>
        <w:rPr>
          <w:sz w:val="20"/>
          <w:szCs w:val="20"/>
        </w:rPr>
        <w:t xml:space="preserve">Service </w:t>
      </w:r>
    </w:p>
    <w:p w:rsidR="00E36F58" w:rsidRDefault="00E36F58" w:rsidP="00E36F58">
      <w:pPr>
        <w:pStyle w:val="Bullets1"/>
        <w:tabs>
          <w:tab w:val="left" w:pos="720"/>
        </w:tabs>
        <w:rPr>
          <w:sz w:val="20"/>
          <w:szCs w:val="20"/>
        </w:rPr>
      </w:pPr>
      <w:r>
        <w:rPr>
          <w:sz w:val="20"/>
          <w:szCs w:val="20"/>
        </w:rPr>
        <w:t xml:space="preserve">Social justice </w:t>
      </w:r>
    </w:p>
    <w:p w:rsidR="00E36F58" w:rsidRDefault="00E36F58" w:rsidP="00E36F58">
      <w:pPr>
        <w:pStyle w:val="Bullets1"/>
        <w:tabs>
          <w:tab w:val="left" w:pos="720"/>
        </w:tabs>
        <w:rPr>
          <w:sz w:val="20"/>
          <w:szCs w:val="20"/>
        </w:rPr>
      </w:pPr>
      <w:r>
        <w:rPr>
          <w:sz w:val="20"/>
          <w:szCs w:val="20"/>
        </w:rPr>
        <w:t xml:space="preserve">Dignity and worth of the person </w:t>
      </w:r>
    </w:p>
    <w:p w:rsidR="00E36F58" w:rsidRDefault="00E36F58" w:rsidP="00E36F58">
      <w:pPr>
        <w:pStyle w:val="Bullets1"/>
        <w:tabs>
          <w:tab w:val="left" w:pos="720"/>
        </w:tabs>
        <w:rPr>
          <w:sz w:val="20"/>
          <w:szCs w:val="20"/>
        </w:rPr>
      </w:pPr>
      <w:r>
        <w:rPr>
          <w:sz w:val="20"/>
          <w:szCs w:val="20"/>
        </w:rPr>
        <w:t xml:space="preserve">Importance of human relationships </w:t>
      </w:r>
    </w:p>
    <w:p w:rsidR="00E36F58" w:rsidRDefault="00E36F58" w:rsidP="00E36F58">
      <w:pPr>
        <w:pStyle w:val="Bullets1"/>
        <w:tabs>
          <w:tab w:val="left" w:pos="720"/>
        </w:tabs>
        <w:rPr>
          <w:sz w:val="20"/>
          <w:szCs w:val="20"/>
        </w:rPr>
      </w:pPr>
      <w:r>
        <w:rPr>
          <w:sz w:val="20"/>
          <w:szCs w:val="20"/>
        </w:rPr>
        <w:t xml:space="preserve">Integrity </w:t>
      </w:r>
    </w:p>
    <w:p w:rsidR="00E36F58" w:rsidRDefault="00E36F58" w:rsidP="00E36F58">
      <w:pPr>
        <w:pStyle w:val="Bullets1"/>
        <w:tabs>
          <w:tab w:val="left" w:pos="720"/>
        </w:tabs>
        <w:rPr>
          <w:sz w:val="20"/>
          <w:szCs w:val="20"/>
        </w:rPr>
      </w:pPr>
      <w:r>
        <w:rPr>
          <w:sz w:val="20"/>
          <w:szCs w:val="20"/>
        </w:rPr>
        <w:t>Competence</w:t>
      </w:r>
    </w:p>
    <w:p w:rsidR="00E36F58" w:rsidRPr="00E36F58" w:rsidRDefault="00E36F58" w:rsidP="00E36F58">
      <w:pPr>
        <w:pStyle w:val="Bullets1"/>
        <w:numPr>
          <w:ilvl w:val="0"/>
          <w:numId w:val="0"/>
        </w:numPr>
        <w:tabs>
          <w:tab w:val="left" w:pos="720"/>
        </w:tabs>
        <w:ind w:left="720"/>
        <w:rPr>
          <w:sz w:val="20"/>
          <w:szCs w:val="20"/>
        </w:rPr>
      </w:pPr>
    </w:p>
    <w:p w:rsidR="00E36F58" w:rsidRDefault="00E36F58" w:rsidP="00E36F58">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E36F58" w:rsidRDefault="00E36F58" w:rsidP="00E36F58">
      <w:pPr>
        <w:pStyle w:val="Heading1"/>
        <w:numPr>
          <w:ilvl w:val="0"/>
          <w:numId w:val="38"/>
        </w:numPr>
      </w:pPr>
      <w:r>
        <w:t>Academic Dishonesty Sanction Guidelines</w:t>
      </w:r>
    </w:p>
    <w:p w:rsidR="00E36F58" w:rsidRDefault="00E36F58" w:rsidP="00E36F58">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E36F58" w:rsidRDefault="00E36F58" w:rsidP="00E36F58">
      <w:pPr>
        <w:pStyle w:val="Heading1"/>
        <w:numPr>
          <w:ilvl w:val="0"/>
          <w:numId w:val="38"/>
        </w:numPr>
        <w:rPr>
          <w:szCs w:val="22"/>
        </w:rPr>
      </w:pPr>
      <w:r>
        <w:rPr>
          <w:szCs w:val="22"/>
        </w:rPr>
        <w:t>Complaints</w:t>
      </w:r>
    </w:p>
    <w:p w:rsidR="00E36F58" w:rsidRDefault="00E36F58" w:rsidP="00E36F58">
      <w:pPr>
        <w:pStyle w:val="BodyText"/>
        <w:rPr>
          <w:szCs w:val="20"/>
        </w:rPr>
      </w:pPr>
      <w:r>
        <w:rPr>
          <w:szCs w:val="20"/>
        </w:rPr>
        <w:t xml:space="preserve">If you have a complaint or concern about the course or the instructor, please discuss it first with the instructor. If you feel cannot discuss it with the instructor, contact the </w:t>
      </w:r>
      <w:r w:rsidR="00BD49A8">
        <w:rPr>
          <w:szCs w:val="20"/>
        </w:rPr>
        <w:t xml:space="preserve">Lead Instructor for this course, Sam Mistrano </w:t>
      </w:r>
      <w:r>
        <w:rPr>
          <w:szCs w:val="20"/>
        </w:rPr>
        <w:t>[</w:t>
      </w:r>
      <w:r w:rsidR="00BD49A8">
        <w:rPr>
          <w:szCs w:val="20"/>
        </w:rPr>
        <w:t>mistrano@usc.edu; 213-821-0904</w:t>
      </w:r>
      <w:r>
        <w:rPr>
          <w:szCs w:val="20"/>
        </w:rPr>
        <w:t xml:space="preserve">]. If you do not receive a satisfactory response or solution, contact your advisor and/or </w:t>
      </w:r>
      <w:r w:rsidR="00BD49A8">
        <w:rPr>
          <w:szCs w:val="20"/>
        </w:rPr>
        <w:t xml:space="preserve">Senior </w:t>
      </w:r>
      <w:r>
        <w:rPr>
          <w:szCs w:val="20"/>
        </w:rPr>
        <w:t xml:space="preserve">Associate Dean and MSW Chair Dr. Leslie Wind for further guidance. </w:t>
      </w:r>
    </w:p>
    <w:p w:rsidR="00E36F58" w:rsidRDefault="00E36F58" w:rsidP="00E36F58">
      <w:pPr>
        <w:pStyle w:val="BodyText"/>
        <w:numPr>
          <w:ilvl w:val="0"/>
          <w:numId w:val="38"/>
        </w:numPr>
        <w:rPr>
          <w:b/>
          <w:color w:val="C00000"/>
          <w:sz w:val="22"/>
          <w:szCs w:val="22"/>
        </w:rPr>
      </w:pPr>
      <w:r>
        <w:rPr>
          <w:b/>
          <w:color w:val="C00000"/>
          <w:sz w:val="22"/>
          <w:szCs w:val="22"/>
        </w:rPr>
        <w:t>Tips for Maximizing Your Learning Experience in this Course (Optional)</w:t>
      </w:r>
    </w:p>
    <w:p w:rsidR="00E36F58" w:rsidRDefault="00E36F58" w:rsidP="00E36F58">
      <w:pPr>
        <w:pStyle w:val="CheckBullets"/>
        <w:tabs>
          <w:tab w:val="clear" w:pos="540"/>
          <w:tab w:val="left" w:pos="720"/>
        </w:tabs>
        <w:rPr>
          <w:szCs w:val="20"/>
        </w:rPr>
      </w:pPr>
      <w:r>
        <w:rPr>
          <w:szCs w:val="20"/>
        </w:rPr>
        <w:t xml:space="preserve">Be mindful of getting proper nutrition, exercise, rest and sleep! </w:t>
      </w:r>
    </w:p>
    <w:p w:rsidR="00E36F58" w:rsidRDefault="00E36F58" w:rsidP="00E36F58">
      <w:pPr>
        <w:pStyle w:val="CheckBullets"/>
        <w:tabs>
          <w:tab w:val="clear" w:pos="540"/>
          <w:tab w:val="left" w:pos="720"/>
        </w:tabs>
        <w:rPr>
          <w:szCs w:val="20"/>
        </w:rPr>
      </w:pPr>
      <w:r>
        <w:rPr>
          <w:szCs w:val="20"/>
        </w:rPr>
        <w:t>Come to class.</w:t>
      </w:r>
    </w:p>
    <w:p w:rsidR="00E36F58" w:rsidRDefault="00E36F58" w:rsidP="00E36F58">
      <w:pPr>
        <w:pStyle w:val="CheckBullets"/>
        <w:tabs>
          <w:tab w:val="clear" w:pos="540"/>
          <w:tab w:val="left" w:pos="720"/>
        </w:tabs>
        <w:rPr>
          <w:szCs w:val="20"/>
        </w:rPr>
      </w:pPr>
      <w:r>
        <w:rPr>
          <w:szCs w:val="20"/>
        </w:rPr>
        <w:t xml:space="preserve">Complete required readings and assignments BEFORE coming to class. </w:t>
      </w:r>
    </w:p>
    <w:p w:rsidR="00E36F58" w:rsidRDefault="00E36F58" w:rsidP="00E36F58">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E36F58" w:rsidRDefault="00E36F58" w:rsidP="00E36F58">
      <w:pPr>
        <w:pStyle w:val="CheckBullets"/>
        <w:tabs>
          <w:tab w:val="clear" w:pos="540"/>
          <w:tab w:val="left" w:pos="720"/>
        </w:tabs>
        <w:rPr>
          <w:szCs w:val="20"/>
        </w:rPr>
      </w:pPr>
      <w:r>
        <w:rPr>
          <w:szCs w:val="20"/>
        </w:rPr>
        <w:t>Come to class prepared to ask any questions you might have.</w:t>
      </w:r>
    </w:p>
    <w:p w:rsidR="00E36F58" w:rsidRDefault="00E36F58" w:rsidP="00E36F58">
      <w:pPr>
        <w:pStyle w:val="CheckBullets"/>
        <w:tabs>
          <w:tab w:val="clear" w:pos="540"/>
          <w:tab w:val="left" w:pos="720"/>
        </w:tabs>
        <w:rPr>
          <w:szCs w:val="20"/>
        </w:rPr>
      </w:pPr>
      <w:r>
        <w:rPr>
          <w:szCs w:val="20"/>
        </w:rPr>
        <w:t>Participate in class discussions.</w:t>
      </w:r>
    </w:p>
    <w:p w:rsidR="00E36F58" w:rsidRDefault="00E36F58" w:rsidP="00E36F58">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E36F58" w:rsidRDefault="00E36F58" w:rsidP="00E36F58">
      <w:pPr>
        <w:pStyle w:val="CheckBullets"/>
        <w:tabs>
          <w:tab w:val="clear" w:pos="540"/>
          <w:tab w:val="left" w:pos="720"/>
        </w:tabs>
        <w:rPr>
          <w:szCs w:val="20"/>
        </w:rPr>
      </w:pPr>
      <w:r>
        <w:rPr>
          <w:szCs w:val="20"/>
        </w:rPr>
        <w:t xml:space="preserve">If you don't understand something, ask questions! Ask questions in class, during office hours, through email!  </w:t>
      </w:r>
    </w:p>
    <w:p w:rsidR="00E36F58" w:rsidRDefault="00E36F58" w:rsidP="00E36F58">
      <w:pPr>
        <w:pStyle w:val="CheckBullets"/>
        <w:tabs>
          <w:tab w:val="clear" w:pos="540"/>
          <w:tab w:val="left" w:pos="720"/>
        </w:tabs>
        <w:spacing w:after="120"/>
        <w:rPr>
          <w:szCs w:val="20"/>
        </w:rPr>
      </w:pPr>
      <w:r>
        <w:rPr>
          <w:szCs w:val="20"/>
        </w:rPr>
        <w:t xml:space="preserve">Keep up with the assigned readings. </w:t>
      </w:r>
    </w:p>
    <w:p w:rsidR="000C52B0" w:rsidRPr="00A552ED" w:rsidRDefault="00E36F58" w:rsidP="00E36F58">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0C52B0" w:rsidRPr="00A552ED" w:rsidSect="00E36F58">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92" w:rsidRDefault="002E0192" w:rsidP="00D32962">
      <w:pPr>
        <w:spacing w:after="0" w:line="240" w:lineRule="auto"/>
      </w:pPr>
      <w:r>
        <w:separator/>
      </w:r>
    </w:p>
  </w:endnote>
  <w:endnote w:type="continuationSeparator" w:id="0">
    <w:p w:rsidR="002E0192" w:rsidRDefault="002E0192"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13828"/>
      <w:docPartObj>
        <w:docPartGallery w:val="Page Numbers (Bottom of Page)"/>
        <w:docPartUnique/>
      </w:docPartObj>
    </w:sdtPr>
    <w:sdtEndPr/>
    <w:sdtContent>
      <w:p w:rsidR="008D0FF2" w:rsidRDefault="008D0FF2">
        <w:pPr>
          <w:pStyle w:val="Footer"/>
          <w:jc w:val="right"/>
        </w:pPr>
        <w:r>
          <w:fldChar w:fldCharType="begin"/>
        </w:r>
        <w:r>
          <w:instrText xml:space="preserve"> PAGE   \* MERGEFORMAT </w:instrText>
        </w:r>
        <w:r>
          <w:fldChar w:fldCharType="separate"/>
        </w:r>
        <w:r w:rsidR="002D523B">
          <w:rPr>
            <w:noProof/>
          </w:rPr>
          <w:t>28</w:t>
        </w:r>
        <w:r>
          <w:rPr>
            <w:noProof/>
          </w:rPr>
          <w:fldChar w:fldCharType="end"/>
        </w:r>
      </w:p>
    </w:sdtContent>
  </w:sdt>
  <w:p w:rsidR="008D0FF2" w:rsidRDefault="008D0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92" w:rsidRDefault="002E0192" w:rsidP="00D32962">
      <w:pPr>
        <w:spacing w:after="0" w:line="240" w:lineRule="auto"/>
      </w:pPr>
      <w:r>
        <w:separator/>
      </w:r>
    </w:p>
  </w:footnote>
  <w:footnote w:type="continuationSeparator" w:id="0">
    <w:p w:rsidR="002E0192" w:rsidRDefault="002E0192" w:rsidP="00D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FF2" w:rsidRDefault="008D0FF2"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FF2" w:rsidRPr="00FE4150" w:rsidRDefault="008D0FF2" w:rsidP="00FE41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CBD21398_0000[1]"/>
      </v:shape>
    </w:pict>
  </w:numPicBullet>
  <w:numPicBullet w:numPicBulletId="1">
    <w:pict>
      <v:shape id="_x0000_i1033" type="#_x0000_t75" style="width:13.7pt;height:13.7pt" o:bullet="t">
        <v:imagedata r:id="rId2" o:title="MCBD21329_0000[1]"/>
      </v:shape>
    </w:pict>
  </w:numPicBullet>
  <w:numPicBullet w:numPicBulletId="2">
    <w:pict>
      <v:shape id="_x0000_i1034" type="#_x0000_t75" style="width:9.35pt;height:9.3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31"/>
  </w:num>
  <w:num w:numId="3">
    <w:abstractNumId w:val="1"/>
  </w:num>
  <w:num w:numId="4">
    <w:abstractNumId w:val="28"/>
  </w:num>
  <w:num w:numId="5">
    <w:abstractNumId w:val="23"/>
  </w:num>
  <w:num w:numId="6">
    <w:abstractNumId w:val="2"/>
  </w:num>
  <w:num w:numId="7">
    <w:abstractNumId w:val="25"/>
  </w:num>
  <w:num w:numId="8">
    <w:abstractNumId w:val="7"/>
  </w:num>
  <w:num w:numId="9">
    <w:abstractNumId w:val="13"/>
  </w:num>
  <w:num w:numId="10">
    <w:abstractNumId w:val="12"/>
  </w:num>
  <w:num w:numId="11">
    <w:abstractNumId w:val="20"/>
  </w:num>
  <w:num w:numId="12">
    <w:abstractNumId w:val="32"/>
  </w:num>
  <w:num w:numId="13">
    <w:abstractNumId w:val="10"/>
  </w:num>
  <w:num w:numId="14">
    <w:abstractNumId w:val="8"/>
  </w:num>
  <w:num w:numId="15">
    <w:abstractNumId w:val="11"/>
  </w:num>
  <w:num w:numId="16">
    <w:abstractNumId w:val="21"/>
  </w:num>
  <w:num w:numId="17">
    <w:abstractNumId w:val="18"/>
  </w:num>
  <w:num w:numId="18">
    <w:abstractNumId w:val="22"/>
  </w:num>
  <w:num w:numId="19">
    <w:abstractNumId w:val="5"/>
  </w:num>
  <w:num w:numId="20">
    <w:abstractNumId w:val="9"/>
  </w:num>
  <w:num w:numId="21">
    <w:abstractNumId w:val="30"/>
  </w:num>
  <w:num w:numId="22">
    <w:abstractNumId w:val="16"/>
  </w:num>
  <w:num w:numId="23">
    <w:abstractNumId w:val="17"/>
  </w:num>
  <w:num w:numId="24">
    <w:abstractNumId w:val="15"/>
  </w:num>
  <w:num w:numId="25">
    <w:abstractNumId w:val="6"/>
  </w:num>
  <w:num w:numId="26">
    <w:abstractNumId w:val="0"/>
  </w:num>
  <w:num w:numId="27">
    <w:abstractNumId w:val="14"/>
  </w:num>
  <w:num w:numId="28">
    <w:abstractNumId w:val="3"/>
  </w:num>
  <w:num w:numId="29">
    <w:abstractNumId w:val="19"/>
  </w:num>
  <w:num w:numId="30">
    <w:abstractNumId w:val="5"/>
    <w:lvlOverride w:ilvl="0">
      <w:startOverride w:val="9"/>
    </w:lvlOverride>
  </w:num>
  <w:num w:numId="31">
    <w:abstractNumId w:val="24"/>
  </w:num>
  <w:num w:numId="32">
    <w:abstractNumId w:val="27"/>
  </w:num>
  <w:num w:numId="33">
    <w:abstractNumId w:val="26"/>
  </w:num>
  <w:num w:numId="3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0"/>
    </w:lvlOverride>
  </w:num>
  <w:num w:numId="37">
    <w:abstractNumId w:val="5"/>
    <w:lvlOverride w:ilvl="0">
      <w:startOverride w:val="9"/>
    </w:lvlOverride>
  </w:num>
  <w:num w:numId="3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A"/>
    <w:rsid w:val="000049A6"/>
    <w:rsid w:val="000128AE"/>
    <w:rsid w:val="00024398"/>
    <w:rsid w:val="00033AC7"/>
    <w:rsid w:val="000400A4"/>
    <w:rsid w:val="00045597"/>
    <w:rsid w:val="00052768"/>
    <w:rsid w:val="00054189"/>
    <w:rsid w:val="000725E8"/>
    <w:rsid w:val="00080BE7"/>
    <w:rsid w:val="000826CC"/>
    <w:rsid w:val="00086BD9"/>
    <w:rsid w:val="0009036D"/>
    <w:rsid w:val="0009597F"/>
    <w:rsid w:val="000A1AC2"/>
    <w:rsid w:val="000A3A98"/>
    <w:rsid w:val="000B7C1E"/>
    <w:rsid w:val="000C349B"/>
    <w:rsid w:val="000C4614"/>
    <w:rsid w:val="000C52B0"/>
    <w:rsid w:val="000D2546"/>
    <w:rsid w:val="000D31A2"/>
    <w:rsid w:val="000D616F"/>
    <w:rsid w:val="000D76C1"/>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A723E"/>
    <w:rsid w:val="001B0255"/>
    <w:rsid w:val="001B4895"/>
    <w:rsid w:val="001C27F0"/>
    <w:rsid w:val="001C29D1"/>
    <w:rsid w:val="001D7A6A"/>
    <w:rsid w:val="001E42AC"/>
    <w:rsid w:val="001F68EA"/>
    <w:rsid w:val="001F6F76"/>
    <w:rsid w:val="0020665D"/>
    <w:rsid w:val="00212684"/>
    <w:rsid w:val="00213114"/>
    <w:rsid w:val="00216321"/>
    <w:rsid w:val="002248B5"/>
    <w:rsid w:val="002301BF"/>
    <w:rsid w:val="00250E3D"/>
    <w:rsid w:val="0025462B"/>
    <w:rsid w:val="002574F8"/>
    <w:rsid w:val="00265CB8"/>
    <w:rsid w:val="00270302"/>
    <w:rsid w:val="002833D9"/>
    <w:rsid w:val="0028625E"/>
    <w:rsid w:val="0029639C"/>
    <w:rsid w:val="002A12EB"/>
    <w:rsid w:val="002A1EE5"/>
    <w:rsid w:val="002B3750"/>
    <w:rsid w:val="002B7CF7"/>
    <w:rsid w:val="002D523B"/>
    <w:rsid w:val="002E0192"/>
    <w:rsid w:val="002E096E"/>
    <w:rsid w:val="002E0CAE"/>
    <w:rsid w:val="002E2B2F"/>
    <w:rsid w:val="002E4602"/>
    <w:rsid w:val="002F0F4B"/>
    <w:rsid w:val="002F1D37"/>
    <w:rsid w:val="002F3830"/>
    <w:rsid w:val="002F656D"/>
    <w:rsid w:val="00302A07"/>
    <w:rsid w:val="00303124"/>
    <w:rsid w:val="00304215"/>
    <w:rsid w:val="003138E2"/>
    <w:rsid w:val="0032004D"/>
    <w:rsid w:val="0032298E"/>
    <w:rsid w:val="00336BFB"/>
    <w:rsid w:val="00344E2C"/>
    <w:rsid w:val="00356292"/>
    <w:rsid w:val="0035795B"/>
    <w:rsid w:val="00361776"/>
    <w:rsid w:val="00362E9D"/>
    <w:rsid w:val="00364BA5"/>
    <w:rsid w:val="00366741"/>
    <w:rsid w:val="00384E7A"/>
    <w:rsid w:val="0038797E"/>
    <w:rsid w:val="003A0ADD"/>
    <w:rsid w:val="003A26FD"/>
    <w:rsid w:val="003A33CC"/>
    <w:rsid w:val="003A524B"/>
    <w:rsid w:val="003B2521"/>
    <w:rsid w:val="003B6E45"/>
    <w:rsid w:val="003C58A3"/>
    <w:rsid w:val="003E04CE"/>
    <w:rsid w:val="003F4035"/>
    <w:rsid w:val="003F78DD"/>
    <w:rsid w:val="00404CB5"/>
    <w:rsid w:val="00407D42"/>
    <w:rsid w:val="00420BBF"/>
    <w:rsid w:val="00434C1F"/>
    <w:rsid w:val="00443E60"/>
    <w:rsid w:val="00446D1B"/>
    <w:rsid w:val="004536CE"/>
    <w:rsid w:val="004550FE"/>
    <w:rsid w:val="00460784"/>
    <w:rsid w:val="00463097"/>
    <w:rsid w:val="004657A8"/>
    <w:rsid w:val="004850E4"/>
    <w:rsid w:val="00495580"/>
    <w:rsid w:val="004A25BD"/>
    <w:rsid w:val="004A2C1C"/>
    <w:rsid w:val="004A6418"/>
    <w:rsid w:val="004D4FCF"/>
    <w:rsid w:val="004E1BC2"/>
    <w:rsid w:val="004F04C2"/>
    <w:rsid w:val="004F0FC8"/>
    <w:rsid w:val="00505D48"/>
    <w:rsid w:val="00506900"/>
    <w:rsid w:val="00512C78"/>
    <w:rsid w:val="0052637F"/>
    <w:rsid w:val="00526D93"/>
    <w:rsid w:val="0053311D"/>
    <w:rsid w:val="0053562A"/>
    <w:rsid w:val="00542F71"/>
    <w:rsid w:val="005570FD"/>
    <w:rsid w:val="005663B3"/>
    <w:rsid w:val="00572229"/>
    <w:rsid w:val="00575A00"/>
    <w:rsid w:val="005839CC"/>
    <w:rsid w:val="005839FA"/>
    <w:rsid w:val="00591384"/>
    <w:rsid w:val="00594DF1"/>
    <w:rsid w:val="00597BFF"/>
    <w:rsid w:val="005A24D2"/>
    <w:rsid w:val="005B427B"/>
    <w:rsid w:val="005B6217"/>
    <w:rsid w:val="005D1DF0"/>
    <w:rsid w:val="005D724D"/>
    <w:rsid w:val="005E387E"/>
    <w:rsid w:val="005E598E"/>
    <w:rsid w:val="005F708C"/>
    <w:rsid w:val="005F7E4C"/>
    <w:rsid w:val="0060060E"/>
    <w:rsid w:val="0060295B"/>
    <w:rsid w:val="00604B05"/>
    <w:rsid w:val="006132BE"/>
    <w:rsid w:val="006221F2"/>
    <w:rsid w:val="00622B33"/>
    <w:rsid w:val="0062441D"/>
    <w:rsid w:val="00645C76"/>
    <w:rsid w:val="006473A5"/>
    <w:rsid w:val="00650067"/>
    <w:rsid w:val="00651610"/>
    <w:rsid w:val="006538EC"/>
    <w:rsid w:val="006608C8"/>
    <w:rsid w:val="00664D66"/>
    <w:rsid w:val="00665D4E"/>
    <w:rsid w:val="00666CD1"/>
    <w:rsid w:val="00673BE7"/>
    <w:rsid w:val="00683D8A"/>
    <w:rsid w:val="0068474C"/>
    <w:rsid w:val="00696986"/>
    <w:rsid w:val="006A0757"/>
    <w:rsid w:val="006A1B2D"/>
    <w:rsid w:val="006A2FF7"/>
    <w:rsid w:val="006A339E"/>
    <w:rsid w:val="006A5D46"/>
    <w:rsid w:val="006B67EC"/>
    <w:rsid w:val="006B7448"/>
    <w:rsid w:val="006D49DD"/>
    <w:rsid w:val="006D786C"/>
    <w:rsid w:val="006E0259"/>
    <w:rsid w:val="006E2D6C"/>
    <w:rsid w:val="006F25E8"/>
    <w:rsid w:val="00711199"/>
    <w:rsid w:val="00714B58"/>
    <w:rsid w:val="0072609B"/>
    <w:rsid w:val="0073007E"/>
    <w:rsid w:val="00736D4A"/>
    <w:rsid w:val="00743222"/>
    <w:rsid w:val="00745496"/>
    <w:rsid w:val="00745CEB"/>
    <w:rsid w:val="007469BC"/>
    <w:rsid w:val="007508EC"/>
    <w:rsid w:val="00751850"/>
    <w:rsid w:val="00782FC1"/>
    <w:rsid w:val="007904DF"/>
    <w:rsid w:val="00791165"/>
    <w:rsid w:val="007912CB"/>
    <w:rsid w:val="00792A6F"/>
    <w:rsid w:val="007933F9"/>
    <w:rsid w:val="0079577D"/>
    <w:rsid w:val="00795A61"/>
    <w:rsid w:val="00796F40"/>
    <w:rsid w:val="007A4C93"/>
    <w:rsid w:val="007A4F34"/>
    <w:rsid w:val="007E7489"/>
    <w:rsid w:val="007E7872"/>
    <w:rsid w:val="007F5EF4"/>
    <w:rsid w:val="00803E04"/>
    <w:rsid w:val="00804D03"/>
    <w:rsid w:val="008077D1"/>
    <w:rsid w:val="00817E71"/>
    <w:rsid w:val="00820C03"/>
    <w:rsid w:val="0082222D"/>
    <w:rsid w:val="00833176"/>
    <w:rsid w:val="00845FA9"/>
    <w:rsid w:val="008516E9"/>
    <w:rsid w:val="008538DB"/>
    <w:rsid w:val="00864DC6"/>
    <w:rsid w:val="008676CF"/>
    <w:rsid w:val="00871387"/>
    <w:rsid w:val="00872995"/>
    <w:rsid w:val="0087334B"/>
    <w:rsid w:val="008736AD"/>
    <w:rsid w:val="00883E45"/>
    <w:rsid w:val="00885ADE"/>
    <w:rsid w:val="008911D0"/>
    <w:rsid w:val="00893128"/>
    <w:rsid w:val="008B31B5"/>
    <w:rsid w:val="008B3653"/>
    <w:rsid w:val="008C25AB"/>
    <w:rsid w:val="008D0FF2"/>
    <w:rsid w:val="008E49FE"/>
    <w:rsid w:val="008E5906"/>
    <w:rsid w:val="008F32C4"/>
    <w:rsid w:val="00903937"/>
    <w:rsid w:val="00904743"/>
    <w:rsid w:val="00914826"/>
    <w:rsid w:val="00917D52"/>
    <w:rsid w:val="0092333A"/>
    <w:rsid w:val="00926B16"/>
    <w:rsid w:val="00927E6F"/>
    <w:rsid w:val="0093638D"/>
    <w:rsid w:val="00944FDD"/>
    <w:rsid w:val="00946A0B"/>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E42FF"/>
    <w:rsid w:val="009F5139"/>
    <w:rsid w:val="009F591A"/>
    <w:rsid w:val="009F6918"/>
    <w:rsid w:val="00A00AE2"/>
    <w:rsid w:val="00A01AF3"/>
    <w:rsid w:val="00A06095"/>
    <w:rsid w:val="00A116A1"/>
    <w:rsid w:val="00A13D66"/>
    <w:rsid w:val="00A16C0D"/>
    <w:rsid w:val="00A16E38"/>
    <w:rsid w:val="00A25B45"/>
    <w:rsid w:val="00A25E43"/>
    <w:rsid w:val="00A33ABA"/>
    <w:rsid w:val="00A37802"/>
    <w:rsid w:val="00A455BD"/>
    <w:rsid w:val="00A47F3F"/>
    <w:rsid w:val="00A57CBA"/>
    <w:rsid w:val="00A639C6"/>
    <w:rsid w:val="00A66648"/>
    <w:rsid w:val="00A87E07"/>
    <w:rsid w:val="00A91627"/>
    <w:rsid w:val="00A96542"/>
    <w:rsid w:val="00A968C6"/>
    <w:rsid w:val="00AA0A20"/>
    <w:rsid w:val="00AC0737"/>
    <w:rsid w:val="00AC33E9"/>
    <w:rsid w:val="00AE237B"/>
    <w:rsid w:val="00AF006B"/>
    <w:rsid w:val="00B026C4"/>
    <w:rsid w:val="00B1137D"/>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D49A8"/>
    <w:rsid w:val="00BE01D8"/>
    <w:rsid w:val="00BF0512"/>
    <w:rsid w:val="00C10A87"/>
    <w:rsid w:val="00C11921"/>
    <w:rsid w:val="00C163C8"/>
    <w:rsid w:val="00C26E43"/>
    <w:rsid w:val="00C3566D"/>
    <w:rsid w:val="00C35B39"/>
    <w:rsid w:val="00C3752F"/>
    <w:rsid w:val="00C43882"/>
    <w:rsid w:val="00C44FB9"/>
    <w:rsid w:val="00C53EDE"/>
    <w:rsid w:val="00C54293"/>
    <w:rsid w:val="00C54828"/>
    <w:rsid w:val="00C54D13"/>
    <w:rsid w:val="00C572DF"/>
    <w:rsid w:val="00C57D6B"/>
    <w:rsid w:val="00C73B16"/>
    <w:rsid w:val="00C765EF"/>
    <w:rsid w:val="00C8227D"/>
    <w:rsid w:val="00C85539"/>
    <w:rsid w:val="00C87439"/>
    <w:rsid w:val="00C900D7"/>
    <w:rsid w:val="00C969ED"/>
    <w:rsid w:val="00C97C53"/>
    <w:rsid w:val="00CA6A8C"/>
    <w:rsid w:val="00CA7F31"/>
    <w:rsid w:val="00CE1F94"/>
    <w:rsid w:val="00CE71A7"/>
    <w:rsid w:val="00CF34C4"/>
    <w:rsid w:val="00D03412"/>
    <w:rsid w:val="00D07CED"/>
    <w:rsid w:val="00D101C2"/>
    <w:rsid w:val="00D21765"/>
    <w:rsid w:val="00D24CBA"/>
    <w:rsid w:val="00D32962"/>
    <w:rsid w:val="00D3618A"/>
    <w:rsid w:val="00D36FEF"/>
    <w:rsid w:val="00D45EB0"/>
    <w:rsid w:val="00D47AD4"/>
    <w:rsid w:val="00D5650F"/>
    <w:rsid w:val="00D572D8"/>
    <w:rsid w:val="00D634D3"/>
    <w:rsid w:val="00D731D2"/>
    <w:rsid w:val="00D74D86"/>
    <w:rsid w:val="00D77DEF"/>
    <w:rsid w:val="00D853BC"/>
    <w:rsid w:val="00D859D3"/>
    <w:rsid w:val="00D95D47"/>
    <w:rsid w:val="00D978F4"/>
    <w:rsid w:val="00DA6B1E"/>
    <w:rsid w:val="00DB3FD8"/>
    <w:rsid w:val="00DB4CA8"/>
    <w:rsid w:val="00DE0474"/>
    <w:rsid w:val="00DE07B1"/>
    <w:rsid w:val="00E07724"/>
    <w:rsid w:val="00E1001C"/>
    <w:rsid w:val="00E1382C"/>
    <w:rsid w:val="00E13A05"/>
    <w:rsid w:val="00E14358"/>
    <w:rsid w:val="00E209DF"/>
    <w:rsid w:val="00E226E2"/>
    <w:rsid w:val="00E25EFF"/>
    <w:rsid w:val="00E30F68"/>
    <w:rsid w:val="00E32302"/>
    <w:rsid w:val="00E36F58"/>
    <w:rsid w:val="00E37FAA"/>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EF2FF9"/>
    <w:rsid w:val="00F11842"/>
    <w:rsid w:val="00F16D4F"/>
    <w:rsid w:val="00F4418D"/>
    <w:rsid w:val="00F819BE"/>
    <w:rsid w:val="00F9353D"/>
    <w:rsid w:val="00F96AAB"/>
    <w:rsid w:val="00FA2540"/>
    <w:rsid w:val="00FA5838"/>
    <w:rsid w:val="00FB2703"/>
    <w:rsid w:val="00FD1B39"/>
    <w:rsid w:val="00FD4CBB"/>
    <w:rsid w:val="00FD6F84"/>
    <w:rsid w:val="00FD7B84"/>
    <w:rsid w:val="00FE4150"/>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4BF74"/>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uiPriority w:val="99"/>
    <w:rsid w:val="00033AC7"/>
    <w:pPr>
      <w:keepNext w:val="0"/>
      <w:numPr>
        <w:numId w:val="20"/>
      </w:numPr>
      <w:spacing w:before="0" w:after="0"/>
    </w:pPr>
    <w:rPr>
      <w:b w:val="0"/>
      <w:bCs w:val="0"/>
      <w:smallCaps w:val="0"/>
      <w:color w:val="FF0000"/>
    </w:rPr>
  </w:style>
  <w:style w:type="paragraph" w:customStyle="1" w:styleId="Bullets1">
    <w:name w:val="Bullets1"/>
    <w:basedOn w:val="Instructions"/>
    <w:uiPriority w:val="99"/>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uiPriority w:val="99"/>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4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600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042201">
      <w:bodyDiv w:val="1"/>
      <w:marLeft w:val="0"/>
      <w:marRight w:val="0"/>
      <w:marTop w:val="0"/>
      <w:marBottom w:val="0"/>
      <w:divBdr>
        <w:top w:val="none" w:sz="0" w:space="0" w:color="auto"/>
        <w:left w:val="none" w:sz="0" w:space="0" w:color="auto"/>
        <w:bottom w:val="none" w:sz="0" w:space="0" w:color="auto"/>
        <w:right w:val="none" w:sz="0" w:space="0" w:color="auto"/>
      </w:divBdr>
    </w:div>
    <w:div w:id="19350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policy.usc.edu/scientific-misconduct/" TargetMode="External"/><Relationship Id="rId18" Type="http://schemas.openxmlformats.org/officeDocument/2006/relationships/hyperlink" Target="http://equity.u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udentaffairs.usc.edu/ssa/"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arc.usc.edu/" TargetMode="External"/><Relationship Id="rId25"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s://engemannshc.usc.edu/rsvp/" TargetMode="External"/><Relationship Id="rId20"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usc.edu"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emergency.usc.edu" TargetMode="External"/><Relationship Id="rId10" Type="http://schemas.openxmlformats.org/officeDocument/2006/relationships/footer" Target="footer1.xml"/><Relationship Id="rId19"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gemannshc.usc.edu/counseling" TargetMode="External"/><Relationship Id="rId22" Type="http://schemas.openxmlformats.org/officeDocument/2006/relationships/hyperlink" Target="https://diversity.usc.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D1AD4-058F-6F4E-BEA3-3E5FA740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9312</Words>
  <Characters>53079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William Feuerborn</cp:lastModifiedBy>
  <cp:revision>4</cp:revision>
  <cp:lastPrinted>2015-11-06T19:26:00Z</cp:lastPrinted>
  <dcterms:created xsi:type="dcterms:W3CDTF">2018-07-23T22:21:00Z</dcterms:created>
  <dcterms:modified xsi:type="dcterms:W3CDTF">2018-08-16T22:03:00Z</dcterms:modified>
</cp:coreProperties>
</file>