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D" w:rsidRPr="00CE278D" w:rsidRDefault="00CE278D" w:rsidP="00741F98">
      <w:pPr>
        <w:jc w:val="center"/>
        <w:rPr>
          <w:rFonts w:cs="Arial"/>
          <w:bCs/>
          <w:color w:val="262626"/>
          <w:szCs w:val="24"/>
        </w:rPr>
      </w:pPr>
    </w:p>
    <w:p w:rsidR="00CE278D" w:rsidRDefault="00CE278D" w:rsidP="009A3B96">
      <w:pPr>
        <w:autoSpaceDE w:val="0"/>
        <w:autoSpaceDN w:val="0"/>
        <w:adjustRightInd w:val="0"/>
        <w:jc w:val="center"/>
        <w:rPr>
          <w:rFonts w:cs="Arial"/>
          <w:b/>
          <w:bCs/>
          <w:i/>
          <w:color w:val="262626"/>
          <w:szCs w:val="24"/>
        </w:rPr>
      </w:pPr>
    </w:p>
    <w:p w:rsidR="00817CA1" w:rsidRPr="008B33DB" w:rsidRDefault="00817CA1" w:rsidP="00817CA1">
      <w:pPr>
        <w:spacing w:before="100"/>
        <w:jc w:val="center"/>
        <w:rPr>
          <w:rFonts w:cs="Arial"/>
          <w:b/>
          <w:bCs/>
          <w:sz w:val="32"/>
          <w:szCs w:val="32"/>
        </w:rPr>
      </w:pPr>
      <w:r>
        <w:rPr>
          <w:rFonts w:cs="Arial"/>
          <w:b/>
          <w:bCs/>
          <w:sz w:val="32"/>
          <w:szCs w:val="32"/>
        </w:rPr>
        <w:t>Social Work 698B</w:t>
      </w:r>
    </w:p>
    <w:p w:rsidR="00817CA1" w:rsidRPr="008B33DB" w:rsidRDefault="00817CA1" w:rsidP="00817CA1">
      <w:pPr>
        <w:autoSpaceDE w:val="0"/>
        <w:autoSpaceDN w:val="0"/>
        <w:adjustRightInd w:val="0"/>
        <w:jc w:val="center"/>
        <w:rPr>
          <w:rFonts w:cs="Arial"/>
          <w:sz w:val="32"/>
          <w:szCs w:val="32"/>
        </w:rPr>
      </w:pPr>
      <w:r w:rsidRPr="008B33DB">
        <w:rPr>
          <w:rFonts w:cs="Arial"/>
          <w:b/>
          <w:bCs/>
          <w:sz w:val="32"/>
          <w:szCs w:val="32"/>
        </w:rPr>
        <w:t>Section #</w:t>
      </w:r>
      <w:r w:rsidR="002B23DD" w:rsidRPr="002B23DD">
        <w:rPr>
          <w:rFonts w:cs="Arial"/>
          <w:b/>
          <w:color w:val="000000"/>
          <w:sz w:val="32"/>
          <w:szCs w:val="32"/>
        </w:rPr>
        <w:t>674</w:t>
      </w:r>
      <w:r w:rsidR="00632F89">
        <w:rPr>
          <w:rFonts w:cs="Arial"/>
          <w:b/>
          <w:color w:val="000000"/>
          <w:sz w:val="32"/>
          <w:szCs w:val="32"/>
        </w:rPr>
        <w:t>27</w:t>
      </w:r>
    </w:p>
    <w:p w:rsidR="00817CA1" w:rsidRPr="00B65CE9" w:rsidRDefault="00817CA1" w:rsidP="00817CA1">
      <w:pPr>
        <w:pStyle w:val="CommentText"/>
        <w:jc w:val="center"/>
        <w:rPr>
          <w:rFonts w:cs="Arial"/>
          <w:sz w:val="24"/>
        </w:rPr>
      </w:pPr>
    </w:p>
    <w:p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rsidR="00817CA1" w:rsidRPr="00CE278D" w:rsidRDefault="00817CA1" w:rsidP="00817CA1">
      <w:pPr>
        <w:jc w:val="center"/>
        <w:rPr>
          <w:rFonts w:cs="Arial"/>
          <w:bCs/>
          <w:sz w:val="22"/>
          <w:szCs w:val="22"/>
        </w:rPr>
      </w:pPr>
    </w:p>
    <w:p w:rsidR="00817CA1" w:rsidRPr="00676CF3" w:rsidRDefault="00477ED2"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rsidR="00817CA1" w:rsidRPr="00954FDC" w:rsidRDefault="00817CA1" w:rsidP="00817CA1">
      <w:pPr>
        <w:jc w:val="center"/>
        <w:rPr>
          <w:rFonts w:cs="Arial"/>
          <w:b/>
          <w:bCs/>
          <w:i/>
          <w:color w:val="7F7F7F"/>
          <w:sz w:val="28"/>
          <w:szCs w:val="36"/>
        </w:rPr>
      </w:pPr>
    </w:p>
    <w:p w:rsidR="00817CA1" w:rsidRPr="00B54ABC" w:rsidRDefault="00817CA1" w:rsidP="00817CA1">
      <w:pPr>
        <w:jc w:val="center"/>
        <w:rPr>
          <w:rFonts w:cs="Arial"/>
          <w:bCs/>
          <w:sz w:val="28"/>
          <w:szCs w:val="36"/>
        </w:rPr>
      </w:pPr>
    </w:p>
    <w:p w:rsidR="002504DF" w:rsidRPr="003E2F1F" w:rsidRDefault="003337D0" w:rsidP="002504DF">
      <w:pPr>
        <w:autoSpaceDE w:val="0"/>
        <w:autoSpaceDN w:val="0"/>
        <w:adjustRightInd w:val="0"/>
        <w:jc w:val="center"/>
        <w:rPr>
          <w:rFonts w:cs="Arial"/>
          <w:i/>
          <w:color w:val="262626"/>
          <w:szCs w:val="24"/>
        </w:rPr>
      </w:pPr>
      <w:r>
        <w:rPr>
          <w:rFonts w:cs="Arial"/>
          <w:b/>
          <w:bCs/>
          <w:i/>
          <w:color w:val="262626"/>
          <w:szCs w:val="24"/>
        </w:rPr>
        <w:t>Summer</w:t>
      </w:r>
      <w:r w:rsidR="00E10B7D">
        <w:rPr>
          <w:rFonts w:cs="Arial"/>
          <w:b/>
          <w:bCs/>
          <w:i/>
          <w:color w:val="262626"/>
          <w:szCs w:val="24"/>
        </w:rPr>
        <w:t xml:space="preserve"> 2018</w:t>
      </w:r>
    </w:p>
    <w:p w:rsidR="002504DF" w:rsidRPr="003E2F1F" w:rsidRDefault="002504DF" w:rsidP="002504DF">
      <w:pPr>
        <w:rPr>
          <w:rFonts w:cs="Arial"/>
          <w:b/>
        </w:rPr>
      </w:pPr>
    </w:p>
    <w:tbl>
      <w:tblPr>
        <w:tblW w:w="10008" w:type="dxa"/>
        <w:tblLook w:val="04A0" w:firstRow="1" w:lastRow="0" w:firstColumn="1" w:lastColumn="0" w:noHBand="0" w:noVBand="1"/>
      </w:tblPr>
      <w:tblGrid>
        <w:gridCol w:w="639"/>
        <w:gridCol w:w="1429"/>
        <w:gridCol w:w="4608"/>
        <w:gridCol w:w="1451"/>
        <w:gridCol w:w="1881"/>
      </w:tblGrid>
      <w:tr w:rsidR="002504DF" w:rsidRPr="003E2F1F" w:rsidTr="001625C0">
        <w:trPr>
          <w:trHeight w:val="286"/>
        </w:trPr>
        <w:tc>
          <w:tcPr>
            <w:tcW w:w="1188" w:type="dxa"/>
            <w:vMerge w:val="restart"/>
          </w:tcPr>
          <w:p w:rsidR="002504DF" w:rsidRPr="003E2F1F" w:rsidRDefault="002504DF" w:rsidP="002240E9">
            <w:pPr>
              <w:tabs>
                <w:tab w:val="left" w:pos="1620"/>
              </w:tabs>
              <w:jc w:val="center"/>
              <w:rPr>
                <w:rFonts w:cs="Arial"/>
                <w:bCs/>
              </w:rPr>
            </w:pPr>
          </w:p>
        </w:tc>
        <w:tc>
          <w:tcPr>
            <w:tcW w:w="1620" w:type="dxa"/>
          </w:tcPr>
          <w:p w:rsidR="002504DF" w:rsidRPr="003E2F1F" w:rsidRDefault="002504DF" w:rsidP="001625C0">
            <w:pPr>
              <w:tabs>
                <w:tab w:val="left" w:pos="1620"/>
              </w:tabs>
              <w:rPr>
                <w:rFonts w:cs="Arial"/>
                <w:b/>
                <w:bCs/>
              </w:rPr>
            </w:pPr>
            <w:r w:rsidRPr="003E2F1F">
              <w:rPr>
                <w:rFonts w:cs="Arial"/>
                <w:b/>
                <w:bCs/>
              </w:rPr>
              <w:t>Instructor:</w:t>
            </w:r>
            <w:r w:rsidR="00334D7A">
              <w:rPr>
                <w:rFonts w:cs="Arial"/>
                <w:b/>
                <w:bCs/>
              </w:rPr>
              <w:t xml:space="preserve"> </w:t>
            </w:r>
          </w:p>
        </w:tc>
        <w:tc>
          <w:tcPr>
            <w:tcW w:w="7200" w:type="dxa"/>
            <w:gridSpan w:val="3"/>
          </w:tcPr>
          <w:p w:rsidR="002504DF" w:rsidRPr="003E2F1F" w:rsidRDefault="002B23DD" w:rsidP="001625C0">
            <w:pPr>
              <w:tabs>
                <w:tab w:val="left" w:pos="1620"/>
              </w:tabs>
              <w:rPr>
                <w:rFonts w:cs="Arial"/>
                <w:bCs/>
              </w:rPr>
            </w:pPr>
            <w:r>
              <w:rPr>
                <w:rFonts w:cs="Arial"/>
                <w:bCs/>
              </w:rPr>
              <w:t>Mini Datta</w:t>
            </w:r>
          </w:p>
        </w:tc>
      </w:tr>
      <w:tr w:rsidR="002504DF" w:rsidRPr="003E2F1F" w:rsidTr="001625C0">
        <w:trPr>
          <w:trHeight w:val="286"/>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 xml:space="preserve">E-Mail: </w:t>
            </w:r>
          </w:p>
        </w:tc>
        <w:tc>
          <w:tcPr>
            <w:tcW w:w="2340" w:type="dxa"/>
          </w:tcPr>
          <w:p w:rsidR="002504DF" w:rsidRPr="003E2F1F" w:rsidRDefault="002240E9" w:rsidP="001625C0">
            <w:pPr>
              <w:tabs>
                <w:tab w:val="left" w:pos="1620"/>
              </w:tabs>
              <w:rPr>
                <w:rFonts w:cs="Arial"/>
                <w:bCs/>
              </w:rPr>
            </w:pPr>
            <w:r>
              <w:rPr>
                <w:rFonts w:cs="Arial"/>
                <w:bCs/>
              </w:rPr>
              <w:t>mi</w:t>
            </w:r>
            <w:r w:rsidR="002B23DD">
              <w:rPr>
                <w:rFonts w:cs="Arial"/>
                <w:bCs/>
              </w:rPr>
              <w:t>nidatt</w:t>
            </w:r>
            <w:r>
              <w:rPr>
                <w:rFonts w:cs="Arial"/>
                <w:bCs/>
              </w:rPr>
              <w:t>@usc.edu</w:t>
            </w:r>
          </w:p>
        </w:tc>
        <w:tc>
          <w:tcPr>
            <w:tcW w:w="1890" w:type="dxa"/>
          </w:tcPr>
          <w:p w:rsidR="002504DF" w:rsidRPr="003E2F1F" w:rsidRDefault="002504DF" w:rsidP="001625C0">
            <w:pPr>
              <w:tabs>
                <w:tab w:val="left" w:pos="1620"/>
              </w:tabs>
              <w:rPr>
                <w:rFonts w:cs="Arial"/>
                <w:b/>
                <w:bCs/>
              </w:rPr>
            </w:pPr>
            <w:r w:rsidRPr="003E2F1F">
              <w:rPr>
                <w:rFonts w:cs="Arial"/>
                <w:b/>
                <w:bCs/>
              </w:rPr>
              <w:t>Course Day:</w:t>
            </w:r>
          </w:p>
        </w:tc>
        <w:tc>
          <w:tcPr>
            <w:tcW w:w="2970" w:type="dxa"/>
          </w:tcPr>
          <w:p w:rsidR="002504DF" w:rsidRPr="00477ED2" w:rsidRDefault="00477ED2" w:rsidP="001625C0">
            <w:pPr>
              <w:tabs>
                <w:tab w:val="left" w:pos="1620"/>
              </w:tabs>
              <w:rPr>
                <w:rFonts w:cs="Arial"/>
                <w:bCs/>
              </w:rPr>
            </w:pPr>
            <w:r w:rsidRPr="00477ED2">
              <w:rPr>
                <w:rFonts w:cs="Arial"/>
                <w:color w:val="000000"/>
                <w:shd w:val="clear" w:color="auto" w:fill="FFFFFF"/>
              </w:rPr>
              <w:t>Thursday</w:t>
            </w:r>
          </w:p>
        </w:tc>
      </w:tr>
      <w:tr w:rsidR="002504DF" w:rsidRPr="003E2F1F" w:rsidTr="001625C0">
        <w:trPr>
          <w:trHeight w:val="143"/>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Telephone:</w:t>
            </w:r>
          </w:p>
        </w:tc>
        <w:tc>
          <w:tcPr>
            <w:tcW w:w="2340" w:type="dxa"/>
          </w:tcPr>
          <w:p w:rsidR="002504DF" w:rsidRPr="003E2F1F" w:rsidRDefault="002B23DD" w:rsidP="001625C0">
            <w:pPr>
              <w:tabs>
                <w:tab w:val="left" w:pos="1620"/>
              </w:tabs>
              <w:rPr>
                <w:rFonts w:cs="Arial"/>
                <w:bCs/>
              </w:rPr>
            </w:pPr>
            <w:r>
              <w:rPr>
                <w:rFonts w:cs="Arial"/>
                <w:bCs/>
              </w:rPr>
              <w:t>630-941-1965</w:t>
            </w:r>
          </w:p>
        </w:tc>
        <w:tc>
          <w:tcPr>
            <w:tcW w:w="1890" w:type="dxa"/>
          </w:tcPr>
          <w:p w:rsidR="002504DF" w:rsidRPr="003E2F1F" w:rsidRDefault="002504DF" w:rsidP="001625C0">
            <w:pPr>
              <w:tabs>
                <w:tab w:val="left" w:pos="1620"/>
              </w:tabs>
              <w:rPr>
                <w:rFonts w:cs="Arial"/>
                <w:b/>
                <w:bCs/>
              </w:rPr>
            </w:pPr>
            <w:r w:rsidRPr="003E2F1F">
              <w:rPr>
                <w:rFonts w:cs="Arial"/>
                <w:b/>
                <w:bCs/>
              </w:rPr>
              <w:t>Course Time:</w:t>
            </w:r>
            <w:r w:rsidRPr="003E2F1F">
              <w:rPr>
                <w:rFonts w:cs="Arial"/>
                <w:b/>
                <w:bCs/>
              </w:rPr>
              <w:tab/>
            </w:r>
          </w:p>
        </w:tc>
        <w:tc>
          <w:tcPr>
            <w:tcW w:w="2970" w:type="dxa"/>
          </w:tcPr>
          <w:p w:rsidR="002504DF" w:rsidRPr="00477ED2" w:rsidRDefault="00477ED2" w:rsidP="001625C0">
            <w:pPr>
              <w:tabs>
                <w:tab w:val="left" w:pos="1620"/>
              </w:tabs>
              <w:rPr>
                <w:rFonts w:cs="Arial"/>
                <w:bCs/>
              </w:rPr>
            </w:pPr>
            <w:r w:rsidRPr="00477ED2">
              <w:rPr>
                <w:rFonts w:cs="Arial"/>
                <w:color w:val="000000"/>
                <w:shd w:val="clear" w:color="auto" w:fill="FFFFFF"/>
              </w:rPr>
              <w:t>4:00-5:15pm</w:t>
            </w:r>
            <w:r w:rsidR="00EA46FC">
              <w:rPr>
                <w:rFonts w:cs="Arial"/>
                <w:color w:val="000000"/>
                <w:shd w:val="clear" w:color="auto" w:fill="FFFFFF"/>
              </w:rPr>
              <w:t xml:space="preserve"> PST</w:t>
            </w:r>
          </w:p>
        </w:tc>
      </w:tr>
      <w:tr w:rsidR="002504DF" w:rsidRPr="003E2F1F" w:rsidTr="001625C0">
        <w:trPr>
          <w:trHeight w:val="142"/>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 xml:space="preserve">Office: </w:t>
            </w:r>
          </w:p>
        </w:tc>
        <w:tc>
          <w:tcPr>
            <w:tcW w:w="2340" w:type="dxa"/>
          </w:tcPr>
          <w:p w:rsidR="002504DF" w:rsidRPr="002240E9" w:rsidRDefault="00477ED2" w:rsidP="001625C0">
            <w:pPr>
              <w:tabs>
                <w:tab w:val="left" w:pos="1620"/>
              </w:tabs>
              <w:rPr>
                <w:rFonts w:cs="Arial"/>
                <w:bCs/>
                <w:sz w:val="18"/>
                <w:szCs w:val="18"/>
              </w:rPr>
            </w:pPr>
            <w:hyperlink r:id="rId10" w:tooltip="http://mswatusc.adobeconnect.com/r8syge00hgk/ Ctrl+Click or tap to follow the link" w:history="1">
              <w:r w:rsidR="002B23DD" w:rsidRPr="00E65147">
                <w:rPr>
                  <w:rFonts w:cs="Arial"/>
                  <w:color w:val="0000FF"/>
                  <w:u w:val="single"/>
                  <w:shd w:val="clear" w:color="auto" w:fill="FFFFFF"/>
                </w:rPr>
                <w:t>http://mswatusc.adobeconnect.com/r8syge00hgk/</w:t>
              </w:r>
            </w:hyperlink>
          </w:p>
          <w:p w:rsidR="002240E9" w:rsidRPr="003E2F1F" w:rsidRDefault="002240E9" w:rsidP="001625C0">
            <w:pPr>
              <w:tabs>
                <w:tab w:val="left" w:pos="1620"/>
              </w:tabs>
              <w:rPr>
                <w:rFonts w:cs="Arial"/>
                <w:bCs/>
              </w:rPr>
            </w:pPr>
          </w:p>
        </w:tc>
        <w:tc>
          <w:tcPr>
            <w:tcW w:w="1890" w:type="dxa"/>
            <w:vMerge w:val="restart"/>
          </w:tcPr>
          <w:p w:rsidR="002504DF" w:rsidRPr="003E2F1F" w:rsidRDefault="002504DF" w:rsidP="001625C0">
            <w:pPr>
              <w:tabs>
                <w:tab w:val="left" w:pos="1620"/>
              </w:tabs>
              <w:rPr>
                <w:rFonts w:cs="Arial"/>
                <w:b/>
                <w:bCs/>
              </w:rPr>
            </w:pPr>
            <w:r w:rsidRPr="003E2F1F">
              <w:rPr>
                <w:rFonts w:cs="Arial"/>
                <w:b/>
                <w:bCs/>
              </w:rPr>
              <w:t>Course Location:</w:t>
            </w:r>
          </w:p>
        </w:tc>
        <w:tc>
          <w:tcPr>
            <w:tcW w:w="2970" w:type="dxa"/>
            <w:vMerge w:val="restart"/>
          </w:tcPr>
          <w:p w:rsidR="002504DF" w:rsidRPr="003E2F1F" w:rsidRDefault="002240E9" w:rsidP="001625C0">
            <w:pPr>
              <w:tabs>
                <w:tab w:val="left" w:pos="1620"/>
              </w:tabs>
              <w:rPr>
                <w:rFonts w:cs="Arial"/>
                <w:bCs/>
              </w:rPr>
            </w:pPr>
            <w:r>
              <w:rPr>
                <w:rFonts w:cs="Arial"/>
                <w:bCs/>
              </w:rPr>
              <w:t>VAC</w:t>
            </w:r>
          </w:p>
        </w:tc>
      </w:tr>
      <w:tr w:rsidR="002504DF" w:rsidRPr="003E2F1F" w:rsidTr="001625C0">
        <w:trPr>
          <w:trHeight w:val="286"/>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Office Hours:</w:t>
            </w:r>
          </w:p>
        </w:tc>
        <w:tc>
          <w:tcPr>
            <w:tcW w:w="2340" w:type="dxa"/>
          </w:tcPr>
          <w:p w:rsidR="002504DF" w:rsidRPr="003E2F1F" w:rsidRDefault="002B23DD" w:rsidP="001625C0">
            <w:pPr>
              <w:tabs>
                <w:tab w:val="left" w:pos="1620"/>
              </w:tabs>
              <w:rPr>
                <w:rFonts w:cs="Arial"/>
                <w:bCs/>
              </w:rPr>
            </w:pPr>
            <w:r>
              <w:rPr>
                <w:rFonts w:cs="Arial"/>
                <w:bCs/>
              </w:rPr>
              <w:t>M-F Upon request and 30 minutes before or after class (please contact to schedule)</w:t>
            </w:r>
          </w:p>
        </w:tc>
        <w:tc>
          <w:tcPr>
            <w:tcW w:w="1890" w:type="dxa"/>
            <w:vMerge/>
          </w:tcPr>
          <w:p w:rsidR="002504DF" w:rsidRPr="003E2F1F" w:rsidRDefault="002504DF" w:rsidP="001625C0">
            <w:pPr>
              <w:tabs>
                <w:tab w:val="left" w:pos="1620"/>
              </w:tabs>
              <w:rPr>
                <w:rFonts w:cs="Arial"/>
                <w:b/>
                <w:bCs/>
              </w:rPr>
            </w:pPr>
          </w:p>
        </w:tc>
        <w:tc>
          <w:tcPr>
            <w:tcW w:w="2970" w:type="dxa"/>
            <w:vMerge/>
          </w:tcPr>
          <w:p w:rsidR="002504DF" w:rsidRPr="003E2F1F" w:rsidRDefault="002504DF" w:rsidP="001625C0">
            <w:pPr>
              <w:tabs>
                <w:tab w:val="left" w:pos="1620"/>
              </w:tabs>
              <w:rPr>
                <w:rFonts w:cs="Arial"/>
                <w:bCs/>
              </w:rPr>
            </w:pPr>
          </w:p>
        </w:tc>
      </w:tr>
    </w:tbl>
    <w:p w:rsidR="002504DF" w:rsidRPr="009F26C3" w:rsidRDefault="002504DF" w:rsidP="002504DF">
      <w:pPr>
        <w:rPr>
          <w:rFonts w:cs="Arial"/>
          <w:b/>
          <w:bCs/>
        </w:rPr>
      </w:pPr>
    </w:p>
    <w:p w:rsidR="002504DF" w:rsidRDefault="002504DF" w:rsidP="002504DF">
      <w:pPr>
        <w:jc w:val="center"/>
        <w:rPr>
          <w:rFonts w:cs="Arial"/>
          <w:b/>
          <w:bCs/>
          <w:color w:val="B40638"/>
          <w:szCs w:val="24"/>
        </w:rPr>
      </w:pPr>
    </w:p>
    <w:p w:rsidR="00817CA1" w:rsidRPr="00CE278D" w:rsidRDefault="00817CA1" w:rsidP="00817CA1">
      <w:pPr>
        <w:autoSpaceDE w:val="0"/>
        <w:autoSpaceDN w:val="0"/>
        <w:adjustRightInd w:val="0"/>
        <w:rPr>
          <w:rFonts w:cs="Arial"/>
          <w:bCs/>
          <w:color w:val="262626"/>
          <w:szCs w:val="24"/>
        </w:rPr>
      </w:pPr>
    </w:p>
    <w:p w:rsidR="00817CA1" w:rsidRDefault="00817CA1" w:rsidP="00817CA1">
      <w:pPr>
        <w:autoSpaceDE w:val="0"/>
        <w:autoSpaceDN w:val="0"/>
        <w:adjustRightInd w:val="0"/>
        <w:jc w:val="center"/>
        <w:rPr>
          <w:rFonts w:cs="Arial"/>
          <w:b/>
          <w:bCs/>
          <w:i/>
          <w:color w:val="262626"/>
          <w:szCs w:val="24"/>
        </w:rPr>
      </w:pPr>
    </w:p>
    <w:p w:rsidR="00817CA1" w:rsidRPr="000D3CFC" w:rsidRDefault="00817CA1" w:rsidP="00817CA1">
      <w:pPr>
        <w:pStyle w:val="Heading1"/>
      </w:pPr>
      <w:r w:rsidRPr="000D3CFC">
        <w:t>Course Prerequisites</w:t>
      </w:r>
    </w:p>
    <w:p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rsidR="00817CA1" w:rsidRPr="000D3CFC" w:rsidRDefault="00817CA1" w:rsidP="00817CA1">
      <w:pPr>
        <w:pStyle w:val="Heading1"/>
      </w:pPr>
      <w:r w:rsidRPr="000D3CFC">
        <w:t>Catalogue Description</w:t>
      </w:r>
    </w:p>
    <w:p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t>Graded CR/NC/INC</w:t>
      </w:r>
      <w:r w:rsidR="002D0E67">
        <w:t>.</w:t>
      </w:r>
    </w:p>
    <w:p w:rsidR="00817CA1" w:rsidRPr="000D3CFC" w:rsidRDefault="00817CA1" w:rsidP="00817CA1">
      <w:pPr>
        <w:pStyle w:val="Heading1"/>
      </w:pPr>
      <w:r w:rsidRPr="000D3CFC">
        <w:t xml:space="preserve"> Course Description</w:t>
      </w:r>
    </w:p>
    <w:p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 xml:space="preserve">will enhance their ability to conceptualize a case </w:t>
      </w:r>
      <w:r>
        <w:rPr>
          <w:rFonts w:cs="Arial"/>
        </w:rPr>
        <w:lastRenderedPageBreak/>
        <w:t>and improve public speaking in various forums.</w:t>
      </w:r>
      <w:r w:rsidR="00334D7A">
        <w:rPr>
          <w:rFonts w:cs="Arial"/>
        </w:rPr>
        <w:t xml:space="preserve"> </w:t>
      </w:r>
      <w:r>
        <w:rPr>
          <w:rFonts w:cs="Arial"/>
        </w:rPr>
        <w:t xml:space="preserve">This course provides a forum for learning and </w:t>
      </w:r>
      <w:r w:rsidR="00CE278D">
        <w:rPr>
          <w:rFonts w:cs="Arial"/>
        </w:rPr>
        <w:t>building 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rsidR="00CE278D" w:rsidRDefault="00CE278D" w:rsidP="00CE278D">
      <w:pPr>
        <w:rPr>
          <w:rFonts w:cs="Arial"/>
        </w:rPr>
      </w:pPr>
    </w:p>
    <w:p w:rsidR="00CE278D" w:rsidRDefault="00CE278D" w:rsidP="00CE278D">
      <w:pPr>
        <w:rPr>
          <w:rFonts w:cs="Arial"/>
        </w:rPr>
      </w:pPr>
      <w:r>
        <w:rPr>
          <w:rFonts w:cs="Arial"/>
        </w:rPr>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with PBL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rsidTr="00CE278D">
        <w:trPr>
          <w:cantSplit/>
          <w:tblHeader/>
        </w:trPr>
        <w:tc>
          <w:tcPr>
            <w:tcW w:w="1638" w:type="dxa"/>
            <w:tcBorders>
              <w:top w:val="single" w:sz="8" w:space="0" w:color="C0504D"/>
              <w:left w:val="single" w:sz="8" w:space="0" w:color="C0504D"/>
              <w:bottom w:val="nil"/>
              <w:right w:val="nil"/>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rsidR="00CE278D" w:rsidRDefault="00CE278D">
            <w:pPr>
              <w:rPr>
                <w:rFonts w:cs="Arial"/>
                <w:bCs/>
                <w:highlight w:val="yellow"/>
              </w:rPr>
            </w:pPr>
            <w:r>
              <w:rPr>
                <w:rFonts w:cs="Arial"/>
              </w:rPr>
              <w:t>Integrate classroom theories and concepts with micro, mezzo, and macro social work practice in a variety of community settings that influence changes at the individual, family</w:t>
            </w:r>
            <w:r w:rsidR="002D0E67">
              <w:rPr>
                <w:rFonts w:cs="Arial"/>
              </w:rPr>
              <w:t>,</w:t>
            </w:r>
            <w:r>
              <w:rPr>
                <w:rFonts w:cs="Arial"/>
              </w:rPr>
              <w:t xml:space="preserve"> and group level</w:t>
            </w:r>
            <w:r w:rsidR="002D0E67">
              <w:rPr>
                <w:rFonts w:cs="Arial"/>
              </w:rPr>
              <w:t>s</w:t>
            </w:r>
            <w:r>
              <w:rPr>
                <w:rFonts w:cs="Arial"/>
              </w:rPr>
              <w:t>; and bring about organizational and societal change</w:t>
            </w:r>
            <w:r w:rsidR="002D0E67">
              <w:rPr>
                <w:rFonts w:cs="Arial"/>
              </w:rPr>
              <w:t>.</w:t>
            </w:r>
          </w:p>
        </w:tc>
      </w:tr>
      <w:tr w:rsidR="00CE278D" w:rsidTr="00CE278D">
        <w:trPr>
          <w:cantSplit/>
        </w:trPr>
        <w:tc>
          <w:tcPr>
            <w:tcW w:w="1638" w:type="dxa"/>
            <w:tcBorders>
              <w:top w:val="nil"/>
              <w:left w:val="single" w:sz="8" w:space="0" w:color="C0504D"/>
              <w:bottom w:val="nil"/>
              <w:right w:val="nil"/>
            </w:tcBorders>
            <w:hideMark/>
          </w:tcPr>
          <w:p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rsidR="00CE278D" w:rsidRDefault="00CE278D" w:rsidP="002D0E67">
            <w:r>
              <w:t xml:space="preserve">Develop professional presentation skills </w:t>
            </w:r>
            <w:r w:rsidR="002D0E67">
              <w:t xml:space="preserve">that </w:t>
            </w:r>
            <w:r>
              <w:t>will enhance case conceptualization skills and public speaking in various social work forums.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rsidR="00CE278D" w:rsidRDefault="00CE278D" w:rsidP="002D0E67">
            <w:pPr>
              <w:rPr>
                <w:rFonts w:cs="Arial"/>
                <w:highlight w:val="yellow"/>
              </w:rPr>
            </w:pPr>
            <w:r>
              <w:rPr>
                <w:rFonts w:cs="Arial"/>
              </w:rPr>
              <w:t>Provide student</w:t>
            </w:r>
            <w:r w:rsidR="002D0E67">
              <w:rPr>
                <w:rFonts w:cs="Arial"/>
              </w:rPr>
              <w:t>s</w:t>
            </w:r>
            <w:r>
              <w:rPr>
                <w:rFonts w:cs="Arial"/>
              </w:rPr>
              <w:t xml:space="preserve">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t>to explore how their particular gender, age, religion, ethnicity, social class, and sexual orientation influence their values and work with clients, agency staff</w:t>
            </w:r>
            <w:r w:rsidR="002D0E67">
              <w:t>,</w:t>
            </w:r>
            <w:r>
              <w:t xml:space="preserve"> and various other stakeholders.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4</w:t>
            </w:r>
          </w:p>
        </w:tc>
        <w:tc>
          <w:tcPr>
            <w:tcW w:w="7920" w:type="dxa"/>
            <w:tcBorders>
              <w:top w:val="single" w:sz="8" w:space="0" w:color="C0504D"/>
              <w:left w:val="nil"/>
              <w:bottom w:val="single" w:sz="8" w:space="0" w:color="C0504D"/>
              <w:right w:val="single" w:sz="8" w:space="0" w:color="C0504D"/>
            </w:tcBorders>
            <w:hideMark/>
          </w:tcPr>
          <w:p w:rsidR="00CE278D" w:rsidRDefault="00CE278D">
            <w:pPr>
              <w:rPr>
                <w:rFonts w:cs="Arial"/>
                <w:highlight w:val="yellow"/>
              </w:rPr>
            </w:pPr>
            <w:r>
              <w:rPr>
                <w:rFonts w:cs="Arial"/>
              </w:rPr>
              <w:t>Continue to support students in field placement experiences by exploring the role and responsibilities of a professional social worker,</w:t>
            </w:r>
            <w:r w:rsidR="002D0E67">
              <w:rPr>
                <w:rFonts w:cs="Arial"/>
              </w:rPr>
              <w:t xml:space="preserve"> and</w:t>
            </w:r>
            <w:r>
              <w:rPr>
                <w:rFonts w:cs="Arial"/>
              </w:rPr>
              <w:t xml:space="preserve"> the values and mission of the profession, alongside the vision and mission of the agency for a more sustainable community</w:t>
            </w:r>
            <w:r w:rsidR="002D0E67">
              <w:rPr>
                <w:rFonts w:cs="Arial"/>
              </w:rPr>
              <w:t>.</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5</w:t>
            </w:r>
          </w:p>
        </w:tc>
        <w:tc>
          <w:tcPr>
            <w:tcW w:w="7920" w:type="dxa"/>
            <w:tcBorders>
              <w:top w:val="single" w:sz="8" w:space="0" w:color="C0504D"/>
              <w:left w:val="nil"/>
              <w:bottom w:val="single" w:sz="8" w:space="0" w:color="C0504D"/>
              <w:right w:val="single" w:sz="8" w:space="0" w:color="C0504D"/>
            </w:tcBorders>
            <w:hideMark/>
          </w:tcPr>
          <w:p w:rsidR="00CE278D" w:rsidRDefault="00CE278D">
            <w:pPr>
              <w:autoSpaceDE w:val="0"/>
              <w:autoSpaceDN w:val="0"/>
              <w:adjustRightInd w:val="0"/>
              <w:spacing w:after="14"/>
              <w:rPr>
                <w:rFonts w:cs="Arial"/>
                <w:color w:val="000000"/>
                <w:highlight w:val="yellow"/>
              </w:rPr>
            </w:pPr>
            <w:r>
              <w:rPr>
                <w:rFonts w:cs="Arial"/>
                <w:color w:val="000000"/>
              </w:rPr>
              <w:t>Continue to increase proficiency in the required Council on Social Work Education’s (CSWE) Ten Core Competencies as indicated in the Comprehensive Skills Evaluation</w:t>
            </w:r>
            <w:r w:rsidR="002D0E67">
              <w:rPr>
                <w:rFonts w:cs="Arial"/>
                <w:color w:val="000000"/>
              </w:rPr>
              <w:t>.</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6</w:t>
            </w:r>
          </w:p>
        </w:tc>
        <w:tc>
          <w:tcPr>
            <w:tcW w:w="7920" w:type="dxa"/>
            <w:tcBorders>
              <w:top w:val="single" w:sz="8" w:space="0" w:color="C0504D"/>
              <w:left w:val="nil"/>
              <w:bottom w:val="single" w:sz="8" w:space="0" w:color="C0504D"/>
              <w:right w:val="single" w:sz="8" w:space="0" w:color="C0504D"/>
            </w:tcBorders>
            <w:hideMark/>
          </w:tcPr>
          <w:p w:rsidR="00CE278D" w:rsidRDefault="00CE278D">
            <w:pPr>
              <w:pStyle w:val="xmsonormal"/>
              <w:rPr>
                <w:rFonts w:ascii="Arial" w:hAnsi="Arial" w:cs="Arial"/>
                <w:sz w:val="20"/>
                <w:szCs w:val="20"/>
              </w:rPr>
            </w:pPr>
            <w:r>
              <w:rPr>
                <w:rFonts w:ascii="Arial" w:hAnsi="Arial" w:cs="Arial"/>
                <w:sz w:val="20"/>
                <w:szCs w:val="20"/>
              </w:rPr>
              <w:t>Continue to develop and expand effective communication skills demonstrating critical thinking and creativity for intra/interdisciplinary collaboration, service delivery, oral presentation and written documentation within the field setting.</w:t>
            </w:r>
            <w:r w:rsidR="00334D7A">
              <w:rPr>
                <w:rFonts w:ascii="Arial" w:hAnsi="Arial" w:cs="Arial"/>
                <w:sz w:val="20"/>
                <w:szCs w:val="20"/>
              </w:rPr>
              <w:t xml:space="preserve"> </w:t>
            </w:r>
          </w:p>
        </w:tc>
      </w:tr>
    </w:tbl>
    <w:p w:rsidR="00E83390" w:rsidRDefault="00E83390" w:rsidP="000731DF">
      <w:pPr>
        <w:pStyle w:val="Heading1"/>
      </w:pPr>
      <w:r>
        <w:t xml:space="preserve">Course </w:t>
      </w:r>
      <w:r w:rsidR="002D0E67">
        <w:t>F</w:t>
      </w:r>
      <w:r>
        <w:t>ormat/</w:t>
      </w:r>
      <w:r w:rsidRPr="003F5ABA">
        <w:t>Instructional Methods</w:t>
      </w:r>
    </w:p>
    <w:p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p>
    <w:p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rsidR="00CE278D" w:rsidRDefault="00CE278D" w:rsidP="00CE278D">
      <w:pPr>
        <w:rPr>
          <w:color w:val="000000"/>
        </w:rPr>
      </w:pPr>
    </w:p>
    <w:p w:rsidR="00CE278D" w:rsidRDefault="00CE278D" w:rsidP="00CE278D">
      <w:pPr>
        <w:pStyle w:val="BodyText"/>
        <w:numPr>
          <w:ilvl w:val="0"/>
          <w:numId w:val="21"/>
        </w:numPr>
        <w:spacing w:after="0"/>
        <w:rPr>
          <w:color w:val="000000"/>
          <w:szCs w:val="20"/>
        </w:rPr>
      </w:pPr>
      <w:r>
        <w:rPr>
          <w:color w:val="000000"/>
          <w:szCs w:val="20"/>
        </w:rPr>
        <w:t xml:space="preserve">Group consultation </w:t>
      </w:r>
    </w:p>
    <w:p w:rsidR="00CE278D" w:rsidRDefault="00CE278D" w:rsidP="00CE278D">
      <w:pPr>
        <w:pStyle w:val="BodyText"/>
        <w:numPr>
          <w:ilvl w:val="0"/>
          <w:numId w:val="21"/>
        </w:numPr>
        <w:spacing w:after="0"/>
        <w:rPr>
          <w:color w:val="000000"/>
          <w:szCs w:val="20"/>
        </w:rPr>
      </w:pPr>
      <w:r>
        <w:rPr>
          <w:color w:val="000000"/>
          <w:szCs w:val="20"/>
        </w:rPr>
        <w:t>Case presentations</w:t>
      </w:r>
    </w:p>
    <w:p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rsidR="00CE278D" w:rsidRDefault="00CE278D" w:rsidP="00CE278D">
      <w:pPr>
        <w:pStyle w:val="BodyText"/>
        <w:numPr>
          <w:ilvl w:val="0"/>
          <w:numId w:val="21"/>
        </w:numPr>
        <w:spacing w:after="0"/>
        <w:rPr>
          <w:color w:val="000000"/>
          <w:szCs w:val="20"/>
        </w:rPr>
      </w:pPr>
      <w:r>
        <w:rPr>
          <w:color w:val="000000"/>
          <w:szCs w:val="20"/>
        </w:rPr>
        <w:lastRenderedPageBreak/>
        <w:t>Structured small</w:t>
      </w:r>
      <w:r w:rsidR="002D0E67">
        <w:rPr>
          <w:color w:val="000000"/>
          <w:szCs w:val="20"/>
        </w:rPr>
        <w:t>-</w:t>
      </w:r>
      <w:r>
        <w:rPr>
          <w:color w:val="000000"/>
          <w:szCs w:val="20"/>
        </w:rPr>
        <w:t>group exercises</w:t>
      </w:r>
    </w:p>
    <w:p w:rsidR="00F63447" w:rsidRPr="00F63447" w:rsidRDefault="00F63447" w:rsidP="00F63447">
      <w:pPr>
        <w:pStyle w:val="BodyText"/>
      </w:pPr>
    </w:p>
    <w:p w:rsidR="0073244E" w:rsidRDefault="0073244E" w:rsidP="0073244E">
      <w:pPr>
        <w:pStyle w:val="Heading1"/>
        <w:numPr>
          <w:ilvl w:val="0"/>
          <w:numId w:val="38"/>
        </w:numPr>
      </w:pPr>
      <w:r>
        <w:t>Student Learning Outcomes</w:t>
      </w:r>
    </w:p>
    <w:p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Policy Practice</w:t>
            </w:r>
          </w:p>
        </w:tc>
      </w:tr>
      <w:tr w:rsidR="0073244E" w:rsidTr="001625C0">
        <w:trPr>
          <w:cantSplit/>
          <w:jc w:val="center"/>
        </w:trPr>
        <w:tc>
          <w:tcPr>
            <w:tcW w:w="644" w:type="dxa"/>
            <w:tcBorders>
              <w:top w:val="single" w:sz="4" w:space="0" w:color="C00000"/>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Engage </w:t>
            </w:r>
            <w:r w:rsidR="002D0E67">
              <w:rPr>
                <w:rFonts w:cs="Arial"/>
                <w:b/>
                <w:sz w:val="22"/>
                <w:szCs w:val="22"/>
              </w:rPr>
              <w:t>W</w:t>
            </w:r>
            <w:r>
              <w:rPr>
                <w:rFonts w:cs="Arial"/>
                <w:b/>
                <w:sz w:val="22"/>
                <w:szCs w:val="22"/>
              </w:rPr>
              <w:t>ith Individuals, Families, Groups, Organizations, and Communities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Intervene </w:t>
            </w:r>
            <w:r w:rsidR="002D0E67">
              <w:rPr>
                <w:rFonts w:cs="Arial"/>
                <w:b/>
                <w:sz w:val="22"/>
                <w:szCs w:val="22"/>
              </w:rPr>
              <w:t>W</w:t>
            </w:r>
            <w:r>
              <w:rPr>
                <w:rFonts w:cs="Arial"/>
                <w:b/>
                <w:sz w:val="22"/>
                <w:szCs w:val="22"/>
              </w:rPr>
              <w:t>ith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r w:rsidR="002D0E67">
              <w:rPr>
                <w:rFonts w:cs="Arial"/>
                <w:b/>
                <w:sz w:val="22"/>
                <w:szCs w:val="22"/>
                <w:highlight w:val="yellow"/>
              </w:rPr>
              <w:t>W</w:t>
            </w:r>
            <w:r w:rsidRPr="001625C0">
              <w:rPr>
                <w:rFonts w:cs="Arial"/>
                <w:b/>
                <w:sz w:val="22"/>
                <w:szCs w:val="22"/>
                <w:highlight w:val="yellow"/>
              </w:rPr>
              <w:t>ith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rsidR="0073244E" w:rsidRDefault="0073244E" w:rsidP="0073244E">
      <w:pPr>
        <w:tabs>
          <w:tab w:val="right" w:pos="8460"/>
        </w:tabs>
        <w:spacing w:after="240"/>
        <w:rPr>
          <w:rFonts w:cs="Arial"/>
        </w:rPr>
      </w:pPr>
      <w:r>
        <w:rPr>
          <w:rFonts w:cs="Arial"/>
        </w:rPr>
        <w:tab/>
        <w:t>* Highlighted in this course</w:t>
      </w:r>
    </w:p>
    <w:p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5F1DA5" w:rsidRDefault="005F1DA5">
      <w:pPr>
        <w:rPr>
          <w:rFonts w:cs="Arial"/>
          <w:szCs w:val="24"/>
        </w:rPr>
        <w:sectPr w:rsidR="005F1DA5" w:rsidSect="0073244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tbl>
      <w:tblPr>
        <w:tblStyle w:val="TableGrid"/>
        <w:tblW w:w="13495" w:type="dxa"/>
        <w:tblLook w:val="04A0" w:firstRow="1" w:lastRow="0" w:firstColumn="1" w:lastColumn="0" w:noHBand="0" w:noVBand="1"/>
      </w:tblPr>
      <w:tblGrid>
        <w:gridCol w:w="3595"/>
        <w:gridCol w:w="3060"/>
        <w:gridCol w:w="3122"/>
        <w:gridCol w:w="1463"/>
        <w:gridCol w:w="2255"/>
      </w:tblGrid>
      <w:tr w:rsidR="0073244E" w:rsidTr="0073244E">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Objectives</w:t>
            </w:r>
          </w:p>
        </w:tc>
        <w:tc>
          <w:tcPr>
            <w:tcW w:w="3122"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Dimensions</w:t>
            </w:r>
          </w:p>
        </w:tc>
        <w:tc>
          <w:tcPr>
            <w:tcW w:w="225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Content</w:t>
            </w:r>
          </w:p>
        </w:tc>
      </w:tr>
      <w:tr w:rsidR="0073244E" w:rsidTr="0073244E">
        <w:trPr>
          <w:trHeight w:val="2993"/>
        </w:trPr>
        <w:tc>
          <w:tcPr>
            <w:tcW w:w="3595" w:type="dxa"/>
            <w:vMerge w:val="restart"/>
            <w:tcBorders>
              <w:top w:val="single" w:sz="4" w:space="0" w:color="C00000"/>
              <w:left w:val="single" w:sz="4" w:space="0" w:color="C00000"/>
              <w:right w:val="single" w:sz="4" w:space="0" w:color="C00000"/>
            </w:tcBorders>
          </w:tcPr>
          <w:p w:rsidR="0073244E" w:rsidRPr="0073244E" w:rsidRDefault="0073244E"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rsidR="0073244E" w:rsidRPr="0073244E" w:rsidRDefault="0073244E" w:rsidP="0073244E">
            <w:pPr>
              <w:rPr>
                <w:rFonts w:cs="Arial"/>
              </w:rPr>
            </w:pPr>
            <w:r w:rsidRPr="0073244E">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73244E" w:rsidRPr="0073244E" w:rsidRDefault="0073244E" w:rsidP="0073244E">
            <w:pPr>
              <w:rPr>
                <w:rFonts w:cs="Arial"/>
              </w:rPr>
            </w:pPr>
          </w:p>
        </w:tc>
        <w:tc>
          <w:tcPr>
            <w:tcW w:w="3060" w:type="dxa"/>
            <w:vMerge w:val="restart"/>
            <w:tcBorders>
              <w:top w:val="single" w:sz="4" w:space="0" w:color="C00000"/>
              <w:left w:val="single" w:sz="4" w:space="0" w:color="C00000"/>
              <w:right w:val="single" w:sz="4" w:space="0" w:color="C00000"/>
            </w:tcBorders>
          </w:tcPr>
          <w:p w:rsidR="0073244E" w:rsidRPr="0073244E" w:rsidRDefault="0073244E"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3122"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spacing w:before="3" w:after="160" w:line="256" w:lineRule="auto"/>
              <w:contextualSpacing/>
              <w:rPr>
                <w:rFonts w:eastAsia="Tahoma" w:cs="Arial"/>
              </w:rPr>
            </w:pPr>
            <w:r w:rsidRPr="0073244E">
              <w:rPr>
                <w:rFonts w:eastAsia="Tahoma" w:cs="Arial"/>
                <w:b/>
              </w:rPr>
              <w:t>9a.</w:t>
            </w:r>
            <w:r w:rsidRPr="0073244E">
              <w:rPr>
                <w:rFonts w:eastAsia="Tahoma" w:cs="Arial"/>
              </w:rPr>
              <w:t xml:space="preserve"> Apply critical thinking to design a systematic process of collecting useful, ethical, culturally sensitive, valid and reliable data about programs and outcomes that aid in case level and program level decision making.</w:t>
            </w:r>
            <w:r w:rsidR="00334D7A">
              <w:rPr>
                <w:rFonts w:eastAsia="Tahoma" w:cs="Arial"/>
              </w:rPr>
              <w:t xml:space="preserve"> </w:t>
            </w:r>
          </w:p>
        </w:tc>
        <w:tc>
          <w:tcPr>
            <w:tcW w:w="1463"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rPr>
                <w:rFonts w:cs="Arial"/>
              </w:rPr>
            </w:pPr>
            <w:r w:rsidRPr="0073244E">
              <w:rPr>
                <w:rFonts w:cs="Arial"/>
              </w:rPr>
              <w:t>Cognitive and Affective Processes</w:t>
            </w:r>
          </w:p>
        </w:tc>
        <w:tc>
          <w:tcPr>
            <w:tcW w:w="2255" w:type="dxa"/>
            <w:vMerge w:val="restart"/>
            <w:tcBorders>
              <w:top w:val="single" w:sz="4" w:space="0" w:color="C00000"/>
              <w:left w:val="single" w:sz="4" w:space="0" w:color="C00000"/>
              <w:right w:val="single" w:sz="4" w:space="0" w:color="C00000"/>
            </w:tcBorders>
          </w:tcPr>
          <w:p w:rsidR="0073244E" w:rsidRPr="0073244E" w:rsidRDefault="0073244E" w:rsidP="0073244E">
            <w:pPr>
              <w:rPr>
                <w:snapToGrid w:val="0"/>
              </w:rPr>
            </w:pPr>
            <w:r w:rsidRPr="0073244E">
              <w:rPr>
                <w:b/>
              </w:rPr>
              <w:t>Units 2</w:t>
            </w:r>
            <w:r w:rsidR="002D0E67">
              <w:rPr>
                <w:b/>
              </w:rPr>
              <w:t>–</w:t>
            </w:r>
            <w:r w:rsidRPr="0073244E">
              <w:rPr>
                <w:b/>
              </w:rPr>
              <w:t>5:</w:t>
            </w:r>
            <w:r w:rsidRPr="0073244E">
              <w:t xml:space="preserve"> </w:t>
            </w:r>
            <w:r w:rsidRPr="0073244E">
              <w:rPr>
                <w:snapToGrid w:val="0"/>
              </w:rPr>
              <w:t xml:space="preserve">Case Presentation Assignment </w:t>
            </w:r>
            <w:r>
              <w:rPr>
                <w:snapToGrid w:val="0"/>
              </w:rPr>
              <w:t>i</w:t>
            </w:r>
            <w:r w:rsidRPr="0073244E">
              <w:rPr>
                <w:snapToGrid w:val="0"/>
              </w:rPr>
              <w:t>n Class</w:t>
            </w:r>
          </w:p>
          <w:p w:rsidR="0073244E" w:rsidRPr="0073244E" w:rsidRDefault="0073244E" w:rsidP="0073244E">
            <w:pPr>
              <w:rPr>
                <w:snapToGrid w:val="0"/>
              </w:rPr>
            </w:pPr>
          </w:p>
          <w:p w:rsidR="0073244E" w:rsidRPr="0073244E" w:rsidRDefault="0073244E" w:rsidP="0073244E">
            <w:pPr>
              <w:rPr>
                <w:rFonts w:cs="Arial"/>
              </w:rPr>
            </w:pPr>
            <w:r w:rsidRPr="0073244E">
              <w:rPr>
                <w:b/>
              </w:rPr>
              <w:t>Assignment 1:</w:t>
            </w:r>
            <w:r w:rsidRPr="0073244E">
              <w:t xml:space="preserve"> Case Presentation</w:t>
            </w:r>
          </w:p>
        </w:tc>
      </w:tr>
      <w:tr w:rsidR="0073244E" w:rsidTr="0073244E">
        <w:trPr>
          <w:trHeight w:val="2992"/>
        </w:trPr>
        <w:tc>
          <w:tcPr>
            <w:tcW w:w="3595" w:type="dxa"/>
            <w:vMerge/>
            <w:tcBorders>
              <w:left w:val="single" w:sz="4" w:space="0" w:color="C00000"/>
              <w:bottom w:val="single" w:sz="4" w:space="0" w:color="C00000"/>
              <w:right w:val="single" w:sz="4" w:space="0" w:color="C00000"/>
            </w:tcBorders>
          </w:tcPr>
          <w:p w:rsidR="0073244E" w:rsidRPr="0073244E" w:rsidRDefault="0073244E" w:rsidP="0073244E">
            <w:pPr>
              <w:rPr>
                <w:rFonts w:cs="Arial"/>
                <w:b/>
              </w:rPr>
            </w:pPr>
          </w:p>
        </w:tc>
        <w:tc>
          <w:tcPr>
            <w:tcW w:w="3060" w:type="dxa"/>
            <w:vMerge/>
            <w:tcBorders>
              <w:left w:val="single" w:sz="4" w:space="0" w:color="C00000"/>
              <w:bottom w:val="single" w:sz="4" w:space="0" w:color="C00000"/>
              <w:right w:val="single" w:sz="4" w:space="0" w:color="C00000"/>
            </w:tcBorders>
          </w:tcPr>
          <w:p w:rsidR="0073244E" w:rsidRPr="0073244E" w:rsidRDefault="0073244E" w:rsidP="0073244E">
            <w:pPr>
              <w:rPr>
                <w:rFonts w:cs="Arial"/>
              </w:rPr>
            </w:pPr>
          </w:p>
        </w:tc>
        <w:tc>
          <w:tcPr>
            <w:tcW w:w="3122"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spacing w:after="160" w:line="256" w:lineRule="auto"/>
              <w:contextualSpacing/>
              <w:rPr>
                <w:rFonts w:eastAsiaTheme="minorHAnsi" w:cs="Arial"/>
              </w:rPr>
            </w:pPr>
            <w:r w:rsidRPr="0073244E">
              <w:rPr>
                <w:rFonts w:eastAsia="Tahoma" w:cs="Arial"/>
                <w:b/>
              </w:rPr>
              <w:t>9b.</w:t>
            </w:r>
            <w:r w:rsidRPr="0073244E">
              <w:rPr>
                <w:rFonts w:eastAsia="Tahoma" w:cs="Arial"/>
              </w:rPr>
              <w:t xml:space="preserve"> Critically analyze, monitor, and evaluate evidence-based interventions to improve practice, policy, and service delivery systems (Skills)</w:t>
            </w:r>
          </w:p>
          <w:p w:rsidR="0073244E" w:rsidRPr="0073244E" w:rsidRDefault="0073244E" w:rsidP="0073244E">
            <w:pPr>
              <w:spacing w:before="3" w:after="160" w:line="256" w:lineRule="auto"/>
              <w:contextualSpacing/>
              <w:rPr>
                <w:rFonts w:eastAsia="Tahoma" w:cs="Arial"/>
              </w:rPr>
            </w:pPr>
          </w:p>
        </w:tc>
        <w:tc>
          <w:tcPr>
            <w:tcW w:w="1463"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rPr>
                <w:rFonts w:cs="Arial"/>
              </w:rPr>
            </w:pPr>
            <w:r>
              <w:rPr>
                <w:rFonts w:cs="Arial"/>
              </w:rPr>
              <w:t>Skills</w:t>
            </w:r>
          </w:p>
        </w:tc>
        <w:tc>
          <w:tcPr>
            <w:tcW w:w="2255" w:type="dxa"/>
            <w:vMerge/>
            <w:tcBorders>
              <w:left w:val="single" w:sz="4" w:space="0" w:color="C00000"/>
              <w:bottom w:val="single" w:sz="4" w:space="0" w:color="C00000"/>
              <w:right w:val="single" w:sz="4" w:space="0" w:color="C00000"/>
            </w:tcBorders>
          </w:tcPr>
          <w:p w:rsidR="0073244E" w:rsidRPr="0073244E" w:rsidRDefault="0073244E" w:rsidP="0073244E">
            <w:pPr>
              <w:rPr>
                <w:rFonts w:cs="Arial"/>
              </w:rPr>
            </w:pPr>
          </w:p>
        </w:tc>
      </w:tr>
    </w:tbl>
    <w:p w:rsidR="005F1DA5" w:rsidRDefault="005F1DA5">
      <w:pPr>
        <w:sectPr w:rsidR="005F1DA5" w:rsidSect="005F1DA5">
          <w:pgSz w:w="15840" w:h="12240" w:orient="landscape" w:code="1"/>
          <w:pgMar w:top="1440" w:right="1440" w:bottom="1440" w:left="1440" w:header="720" w:footer="720" w:gutter="0"/>
          <w:cols w:space="720"/>
          <w:docGrid w:linePitch="360"/>
        </w:sectPr>
      </w:pPr>
    </w:p>
    <w:p w:rsidR="005F3422" w:rsidRDefault="005F3422" w:rsidP="005F1DA5">
      <w:r w:rsidRPr="003F5ABA">
        <w:lastRenderedPageBreak/>
        <w:t>Course Assignments</w:t>
      </w:r>
      <w:r w:rsidR="00D20FB5" w:rsidRPr="003F5ABA">
        <w:t xml:space="preserve">, </w:t>
      </w:r>
      <w:r w:rsidR="00691546" w:rsidRPr="003F5ABA">
        <w:t>Due Dates</w:t>
      </w:r>
      <w:r w:rsidR="00584363">
        <w:t>, and</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34728E"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34728E" w:rsidRDefault="0034728E">
            <w:pPr>
              <w:keepNext/>
              <w:jc w:val="center"/>
              <w:rPr>
                <w:rFonts w:cs="Arial"/>
                <w:b/>
                <w:bCs/>
                <w:color w:val="FFFFFF"/>
              </w:rPr>
            </w:pPr>
            <w:r>
              <w:rPr>
                <w:rFonts w:cs="Arial"/>
                <w:b/>
                <w:bCs/>
                <w:color w:val="FFFFFF"/>
              </w:rPr>
              <w:t>Percentage</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rsidR="0034728E" w:rsidRDefault="00EB5C99">
            <w:pPr>
              <w:jc w:val="center"/>
              <w:rPr>
                <w:rFonts w:cs="Arial"/>
              </w:rPr>
            </w:pPr>
            <w:r>
              <w:rPr>
                <w:rFonts w:cs="Arial"/>
              </w:rPr>
              <w:t>Units 2</w:t>
            </w:r>
            <w:r w:rsidR="003E550F">
              <w:rPr>
                <w:rFonts w:cs="Arial"/>
              </w:rPr>
              <w:t>–</w:t>
            </w:r>
            <w:r>
              <w:rPr>
                <w:rFonts w:cs="Arial"/>
              </w:rPr>
              <w:t>5 (W</w:t>
            </w:r>
            <w:r w:rsidR="0034728E">
              <w:rPr>
                <w:rFonts w:cs="Arial"/>
              </w:rPr>
              <w:t xml:space="preserve">eeks </w:t>
            </w:r>
            <w:r w:rsidR="00EA46FC">
              <w:rPr>
                <w:rFonts w:cs="Arial"/>
              </w:rPr>
              <w:t>4</w:t>
            </w:r>
            <w:r w:rsidR="003E550F">
              <w:rPr>
                <w:rFonts w:cs="Arial"/>
              </w:rPr>
              <w:t>–</w:t>
            </w:r>
            <w:r w:rsidR="0034728E">
              <w:rPr>
                <w:rFonts w:cs="Arial"/>
              </w:rPr>
              <w:t>9)</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40</w:t>
            </w:r>
            <w:r w:rsidR="00E358E9">
              <w:rPr>
                <w:rFonts w:cs="Arial"/>
              </w:rPr>
              <w:t xml:space="preserve"> 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rsidP="00A923BB">
            <w:pPr>
              <w:rPr>
                <w:rFonts w:cs="Arial"/>
                <w:b/>
                <w:bCs/>
              </w:rPr>
            </w:pPr>
            <w:r>
              <w:rPr>
                <w:rFonts w:cs="Arial"/>
                <w:b/>
                <w:bCs/>
              </w:rPr>
              <w:t xml:space="preserve">Assignment 2: </w:t>
            </w:r>
            <w:r w:rsidRPr="00A923BB">
              <w:rPr>
                <w:rFonts w:cs="Arial"/>
                <w:b/>
                <w:bCs/>
              </w:rPr>
              <w:t xml:space="preserve">Social Work Practice </w:t>
            </w:r>
            <w:r w:rsidR="00A923BB" w:rsidRPr="00A923BB">
              <w:rPr>
                <w:rFonts w:cs="Arial"/>
                <w:b/>
                <w:bCs/>
              </w:rPr>
              <w:t>and Social Justice Advocacy</w:t>
            </w:r>
          </w:p>
        </w:tc>
        <w:tc>
          <w:tcPr>
            <w:tcW w:w="1613" w:type="dxa"/>
            <w:tcBorders>
              <w:top w:val="single" w:sz="8" w:space="0" w:color="C0504D"/>
              <w:left w:val="nil"/>
              <w:bottom w:val="single" w:sz="8" w:space="0" w:color="C0504D"/>
              <w:right w:val="nil"/>
            </w:tcBorders>
            <w:hideMark/>
          </w:tcPr>
          <w:p w:rsidR="00EA46FC" w:rsidRDefault="00EB5C99">
            <w:pPr>
              <w:jc w:val="center"/>
              <w:rPr>
                <w:rFonts w:cs="Arial"/>
              </w:rPr>
            </w:pPr>
            <w:r>
              <w:rPr>
                <w:rFonts w:cs="Arial"/>
              </w:rPr>
              <w:t xml:space="preserve">Unit </w:t>
            </w:r>
            <w:r w:rsidR="003337D0">
              <w:rPr>
                <w:rFonts w:cs="Arial"/>
              </w:rPr>
              <w:t>6</w:t>
            </w:r>
          </w:p>
          <w:p w:rsidR="0034728E" w:rsidRDefault="00EA46FC">
            <w:pPr>
              <w:jc w:val="center"/>
              <w:rPr>
                <w:rFonts w:cs="Arial"/>
              </w:rPr>
            </w:pPr>
            <w:r>
              <w:rPr>
                <w:rFonts w:cs="Arial"/>
              </w:rPr>
              <w:t>(week 12)</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131A62" w:rsidRDefault="0034728E" w:rsidP="00D452F0">
            <w:pPr>
              <w:rPr>
                <w:rFonts w:cs="Arial"/>
                <w:b/>
                <w:bCs/>
              </w:rPr>
            </w:pPr>
            <w:r>
              <w:rPr>
                <w:rFonts w:cs="Arial"/>
                <w:b/>
                <w:bCs/>
              </w:rPr>
              <w:t xml:space="preserve">Assignment 3: </w:t>
            </w:r>
            <w:r w:rsidR="001625C0" w:rsidRPr="00F62094">
              <w:rPr>
                <w:rFonts w:cs="Arial"/>
                <w:b/>
                <w:bCs/>
              </w:rPr>
              <w:t xml:space="preserve">Participation in </w:t>
            </w:r>
            <w:r w:rsidR="003E550F">
              <w:rPr>
                <w:rFonts w:cs="Arial"/>
                <w:b/>
                <w:bCs/>
              </w:rPr>
              <w:t>four</w:t>
            </w:r>
            <w:r w:rsidR="00D452F0">
              <w:rPr>
                <w:rFonts w:cs="Arial"/>
                <w:b/>
                <w:bCs/>
              </w:rPr>
              <w:t xml:space="preserve"> different class forums/video P</w:t>
            </w:r>
            <w:r w:rsidR="001625C0" w:rsidRPr="00F62094">
              <w:rPr>
                <w:rFonts w:cs="Arial"/>
                <w:b/>
                <w:bCs/>
              </w:rPr>
              <w:t>osting</w:t>
            </w:r>
            <w:r w:rsidR="00D452F0">
              <w:rPr>
                <w:rFonts w:cs="Arial"/>
                <w:b/>
                <w:bCs/>
              </w:rPr>
              <w:t xml:space="preserve"> is done on the Forum Page in the assignment uploads section. Students</w:t>
            </w:r>
            <w:r w:rsidR="001625C0" w:rsidRPr="00F62094">
              <w:rPr>
                <w:rFonts w:cs="Arial"/>
                <w:b/>
                <w:bCs/>
              </w:rPr>
              <w:t xml:space="preserve"> must complete at leas</w:t>
            </w:r>
            <w:r w:rsidR="001625C0">
              <w:rPr>
                <w:rFonts w:cs="Arial"/>
                <w:b/>
                <w:bCs/>
              </w:rPr>
              <w:t xml:space="preserve">t </w:t>
            </w:r>
            <w:r w:rsidR="003E550F">
              <w:rPr>
                <w:rFonts w:cs="Arial"/>
                <w:b/>
                <w:bCs/>
              </w:rPr>
              <w:t>two</w:t>
            </w:r>
            <w:r w:rsidR="001625C0">
              <w:rPr>
                <w:rFonts w:cs="Arial"/>
                <w:b/>
                <w:bCs/>
              </w:rPr>
              <w:t xml:space="preserve"> forum posts by Unit 5 (Week 9) and all </w:t>
            </w:r>
            <w:r w:rsidR="003E550F">
              <w:rPr>
                <w:rFonts w:cs="Arial"/>
                <w:b/>
                <w:bCs/>
              </w:rPr>
              <w:t>four</w:t>
            </w:r>
            <w:r w:rsidR="00453AF3">
              <w:rPr>
                <w:rFonts w:cs="Arial"/>
                <w:b/>
                <w:bCs/>
              </w:rPr>
              <w:t xml:space="preserve"> different forum posts by Week 13</w:t>
            </w:r>
            <w:r w:rsidR="001625C0" w:rsidRPr="00F62094">
              <w:rPr>
                <w:rFonts w:cs="Arial"/>
                <w:b/>
                <w:bCs/>
              </w:rPr>
              <w:t>.</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rsidR="0034728E" w:rsidRDefault="0034728E">
            <w:pPr>
              <w:jc w:val="center"/>
              <w:rPr>
                <w:rFonts w:cs="Arial"/>
              </w:rPr>
            </w:pPr>
            <w:r>
              <w:rPr>
                <w:rFonts w:cs="Arial"/>
              </w:rPr>
              <w:t>20</w:t>
            </w:r>
            <w:r w:rsidR="00E358E9">
              <w:rPr>
                <w:rFonts w:cs="Arial"/>
              </w:rPr>
              <w:t xml:space="preserve"> points</w:t>
            </w:r>
          </w:p>
          <w:p w:rsidR="0034728E" w:rsidRDefault="0034728E">
            <w:pPr>
              <w:jc w:val="center"/>
              <w:rPr>
                <w:rFonts w:cs="Arial"/>
              </w:rPr>
            </w:pPr>
            <w:r>
              <w:rPr>
                <w:rFonts w:cs="Arial"/>
              </w:rPr>
              <w:t xml:space="preserve">(50% due by </w:t>
            </w:r>
            <w:r w:rsidR="00131A62">
              <w:rPr>
                <w:rFonts w:cs="Arial"/>
              </w:rPr>
              <w:t>W</w:t>
            </w:r>
            <w:r>
              <w:rPr>
                <w:rFonts w:cs="Arial"/>
              </w:rPr>
              <w:t>eek 9)</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10</w:t>
            </w:r>
            <w:r w:rsidR="00E358E9">
              <w:rPr>
                <w:rFonts w:cs="Arial"/>
              </w:rPr>
              <w:t xml:space="preserve"> points</w:t>
            </w:r>
          </w:p>
        </w:tc>
      </w:tr>
    </w:tbl>
    <w:p w:rsidR="00157423" w:rsidRDefault="00157423" w:rsidP="00CA2C04">
      <w:pPr>
        <w:pStyle w:val="BodyText"/>
        <w:spacing w:before="120"/>
      </w:pPr>
    </w:p>
    <w:p w:rsidR="00664DA1" w:rsidRPr="000E18E4" w:rsidRDefault="00664DA1" w:rsidP="00CA2C04">
      <w:pPr>
        <w:pStyle w:val="BodyText"/>
        <w:spacing w:before="120"/>
      </w:pPr>
      <w:r w:rsidRPr="000E18E4">
        <w:t>Each of the major assignments is described below.</w:t>
      </w:r>
    </w:p>
    <w:p w:rsidR="0034728E" w:rsidRPr="00317B17" w:rsidRDefault="0034728E" w:rsidP="001625C0">
      <w:pPr>
        <w:pStyle w:val="BodyText"/>
        <w:tabs>
          <w:tab w:val="left" w:pos="7425"/>
        </w:tabs>
        <w:spacing w:after="0"/>
        <w:rPr>
          <w:b/>
        </w:rPr>
      </w:pPr>
      <w:r w:rsidRPr="00317B17">
        <w:rPr>
          <w:b/>
        </w:rPr>
        <w:t xml:space="preserve">Assignment 1: Case Presentation </w:t>
      </w:r>
      <w:r w:rsidR="005B659B" w:rsidRPr="00317B17">
        <w:rPr>
          <w:b/>
        </w:rPr>
        <w:tab/>
      </w:r>
    </w:p>
    <w:p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 By acquiring the skills to present a comprehensive case or agency challenge</w:t>
      </w:r>
      <w:r w:rsidR="00F35BA4">
        <w:rPr>
          <w:rFonts w:ascii="Arial" w:hAnsi="Arial" w:cs="Arial"/>
          <w:color w:val="auto"/>
          <w:sz w:val="20"/>
          <w:szCs w:val="20"/>
        </w:rPr>
        <w:t>,</w:t>
      </w:r>
      <w:r w:rsidRPr="00317B17">
        <w:rPr>
          <w:rFonts w:ascii="Arial" w:hAnsi="Arial" w:cs="Arial"/>
          <w:color w:val="auto"/>
          <w:sz w:val="20"/>
          <w:szCs w:val="20"/>
        </w:rPr>
        <w:t xml:space="preserve"> students will be able to receive helpful 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Students will complete a </w:t>
      </w:r>
      <w:r w:rsidR="003E550F">
        <w:rPr>
          <w:rFonts w:ascii="Arial" w:hAnsi="Arial" w:cs="Arial"/>
          <w:color w:val="auto"/>
          <w:sz w:val="20"/>
          <w:szCs w:val="20"/>
        </w:rPr>
        <w:t>two- to three-</w:t>
      </w:r>
      <w:r w:rsidRPr="00317B17">
        <w:rPr>
          <w:rFonts w:ascii="Arial" w:hAnsi="Arial" w:cs="Arial"/>
          <w:color w:val="auto"/>
          <w:sz w:val="20"/>
          <w:szCs w:val="20"/>
        </w:rPr>
        <w:t>page case summary outline using the designated case presentation templates. Students can select either a clinical or macro</w:t>
      </w:r>
      <w:r w:rsidR="003E550F">
        <w:rPr>
          <w:rFonts w:ascii="Arial" w:hAnsi="Arial" w:cs="Arial"/>
          <w:color w:val="auto"/>
          <w:sz w:val="20"/>
          <w:szCs w:val="20"/>
        </w:rPr>
        <w:t>-</w:t>
      </w:r>
      <w:r w:rsidRPr="00317B17">
        <w:rPr>
          <w:rFonts w:ascii="Arial" w:hAnsi="Arial" w:cs="Arial"/>
          <w:color w:val="auto"/>
          <w:sz w:val="20"/>
          <w:szCs w:val="20"/>
        </w:rPr>
        <w:t>based case. Time of presentation may vary due to class size</w:t>
      </w:r>
      <w:r w:rsidR="00F35BA4">
        <w:rPr>
          <w:rFonts w:ascii="Arial" w:hAnsi="Arial" w:cs="Arial"/>
          <w:color w:val="auto"/>
          <w:sz w:val="20"/>
          <w:szCs w:val="20"/>
        </w:rPr>
        <w:t>.</w:t>
      </w:r>
      <w:r w:rsidR="00334D7A">
        <w:rPr>
          <w:rFonts w:ascii="Arial" w:hAnsi="Arial" w:cs="Arial"/>
          <w:color w:val="auto"/>
          <w:sz w:val="20"/>
          <w:szCs w:val="20"/>
        </w:rPr>
        <w:t xml:space="preserve"> </w:t>
      </w:r>
      <w:r w:rsidR="00F35BA4" w:rsidRPr="00BE58DA">
        <w:rPr>
          <w:rFonts w:ascii="Arial" w:hAnsi="Arial" w:cs="Arial"/>
          <w:color w:val="auto"/>
          <w:sz w:val="20"/>
          <w:szCs w:val="20"/>
          <w:highlight w:val="green"/>
        </w:rPr>
        <w:t>D</w:t>
      </w:r>
      <w:r w:rsidRPr="00BE58DA">
        <w:rPr>
          <w:rFonts w:ascii="Arial" w:hAnsi="Arial" w:cs="Arial"/>
          <w:color w:val="auto"/>
          <w:sz w:val="20"/>
          <w:szCs w:val="20"/>
          <w:highlight w:val="green"/>
        </w:rPr>
        <w:t xml:space="preserve">emonstrations will begin within </w:t>
      </w:r>
      <w:r w:rsidR="003E550F">
        <w:rPr>
          <w:rFonts w:ascii="Arial" w:hAnsi="Arial" w:cs="Arial"/>
          <w:color w:val="auto"/>
          <w:sz w:val="20"/>
          <w:szCs w:val="20"/>
          <w:highlight w:val="green"/>
        </w:rPr>
        <w:t>U</w:t>
      </w:r>
      <w:r w:rsidRPr="00BE58DA">
        <w:rPr>
          <w:rFonts w:ascii="Arial" w:hAnsi="Arial" w:cs="Arial"/>
          <w:color w:val="auto"/>
          <w:sz w:val="20"/>
          <w:szCs w:val="20"/>
          <w:highlight w:val="green"/>
        </w:rPr>
        <w:t>nits 2</w:t>
      </w:r>
      <w:r w:rsidR="003E550F">
        <w:rPr>
          <w:rFonts w:ascii="Arial" w:hAnsi="Arial" w:cs="Arial"/>
          <w:color w:val="auto"/>
          <w:sz w:val="20"/>
          <w:szCs w:val="20"/>
          <w:highlight w:val="green"/>
        </w:rPr>
        <w:t>–</w:t>
      </w:r>
      <w:r w:rsidRPr="00BE58DA">
        <w:rPr>
          <w:rFonts w:ascii="Arial" w:hAnsi="Arial" w:cs="Arial"/>
          <w:color w:val="auto"/>
          <w:sz w:val="20"/>
          <w:szCs w:val="20"/>
          <w:highlight w:val="green"/>
        </w:rPr>
        <w:t>5.</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required content, presentation, and case summary outline.</w:t>
      </w:r>
      <w:r w:rsidR="00334D7A">
        <w:rPr>
          <w:rFonts w:ascii="Arial" w:hAnsi="Arial" w:cs="Arial"/>
          <w:color w:val="auto"/>
          <w:sz w:val="20"/>
          <w:szCs w:val="20"/>
        </w:rPr>
        <w:t xml:space="preserve"> </w:t>
      </w:r>
    </w:p>
    <w:p w:rsidR="0034728E" w:rsidRDefault="0034728E" w:rsidP="0034728E">
      <w:pPr>
        <w:pStyle w:val="BodyText"/>
        <w:spacing w:before="240"/>
      </w:pPr>
      <w:r>
        <w:rPr>
          <w:b/>
        </w:rPr>
        <w:t>Due:</w:t>
      </w:r>
      <w:r w:rsidR="00334D7A">
        <w:t xml:space="preserve"> </w:t>
      </w:r>
      <w:r w:rsidR="00157423">
        <w:rPr>
          <w:b/>
        </w:rPr>
        <w:t xml:space="preserve">Presented </w:t>
      </w:r>
      <w:r>
        <w:rPr>
          <w:b/>
        </w:rPr>
        <w:t xml:space="preserve">within </w:t>
      </w:r>
      <w:r w:rsidR="00D646DE">
        <w:rPr>
          <w:b/>
        </w:rPr>
        <w:t>U</w:t>
      </w:r>
      <w:r>
        <w:rPr>
          <w:b/>
        </w:rPr>
        <w:t>nits 2</w:t>
      </w:r>
      <w:r w:rsidR="003E550F">
        <w:rPr>
          <w:b/>
        </w:rPr>
        <w:t>–</w:t>
      </w:r>
      <w:r w:rsidR="00157423">
        <w:rPr>
          <w:b/>
        </w:rPr>
        <w:t xml:space="preserve">5 (Weeks </w:t>
      </w:r>
      <w:r w:rsidR="00EA46FC">
        <w:rPr>
          <w:b/>
        </w:rPr>
        <w:t>4</w:t>
      </w:r>
      <w:r w:rsidR="00157423">
        <w:rPr>
          <w:b/>
        </w:rPr>
        <w:t>, 5,</w:t>
      </w:r>
      <w:r w:rsidR="00EA46FC">
        <w:rPr>
          <w:b/>
        </w:rPr>
        <w:t xml:space="preserve"> 6,</w:t>
      </w:r>
      <w:r w:rsidR="00157423">
        <w:rPr>
          <w:b/>
        </w:rPr>
        <w:t xml:space="preserve"> 7, </w:t>
      </w:r>
      <w:r w:rsidR="003E550F">
        <w:rPr>
          <w:b/>
        </w:rPr>
        <w:t>and</w:t>
      </w:r>
      <w:r w:rsidR="00157423">
        <w:rPr>
          <w:b/>
        </w:rPr>
        <w:t xml:space="preserve"> 9)</w:t>
      </w:r>
    </w:p>
    <w:p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rsidR="0059105F" w:rsidRDefault="0059105F" w:rsidP="007F6DB1">
      <w:pPr>
        <w:pStyle w:val="BodyText"/>
        <w:spacing w:after="0"/>
        <w:rPr>
          <w:b/>
          <w:bCs/>
        </w:rPr>
      </w:pPr>
    </w:p>
    <w:p w:rsidR="0034728E" w:rsidRPr="00317B17"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Social Work Practice </w:t>
      </w:r>
      <w:r w:rsidR="0006332E" w:rsidRPr="00317B17">
        <w:rPr>
          <w:b/>
          <w:bCs/>
        </w:rPr>
        <w:t xml:space="preserve">and </w:t>
      </w:r>
      <w:r w:rsidR="00FD4F30" w:rsidRPr="00317B17">
        <w:rPr>
          <w:b/>
          <w:bCs/>
        </w:rPr>
        <w:t>Social Justice</w:t>
      </w:r>
      <w:r w:rsidR="0006332E" w:rsidRPr="00317B17">
        <w:rPr>
          <w:b/>
          <w:bCs/>
        </w:rPr>
        <w:t xml:space="preserve"> </w:t>
      </w:r>
      <w:r w:rsidR="00A923BB" w:rsidRPr="00317B17">
        <w:rPr>
          <w:b/>
          <w:bCs/>
        </w:rPr>
        <w:t>Advocacy</w:t>
      </w:r>
    </w:p>
    <w:p w:rsidR="00180CE0" w:rsidRDefault="00180CE0" w:rsidP="007F6DB1">
      <w:pPr>
        <w:pStyle w:val="BodyText"/>
        <w:spacing w:after="0"/>
        <w:rPr>
          <w:szCs w:val="20"/>
        </w:rPr>
      </w:pPr>
      <w:r w:rsidRPr="00317B17">
        <w:rPr>
          <w:bCs/>
          <w:szCs w:val="20"/>
        </w:rPr>
        <w:t>Assignment 2 is designed as a</w:t>
      </w:r>
      <w:r w:rsidRPr="00317B17">
        <w:rPr>
          <w:szCs w:val="20"/>
        </w:rPr>
        <w:t xml:space="preserve"> group project and will culminate in a presentation. The class </w:t>
      </w:r>
      <w:r w:rsidR="003E550F">
        <w:rPr>
          <w:szCs w:val="20"/>
        </w:rPr>
        <w:t>will</w:t>
      </w:r>
      <w:r w:rsidRPr="00317B17">
        <w:rPr>
          <w:szCs w:val="20"/>
        </w:rPr>
        <w:t xml:space="preserve"> be divided into groups of </w:t>
      </w:r>
      <w:r w:rsidR="003E550F">
        <w:rPr>
          <w:szCs w:val="20"/>
        </w:rPr>
        <w:t>three</w:t>
      </w:r>
      <w:r w:rsidR="00F35BA4">
        <w:rPr>
          <w:szCs w:val="20"/>
        </w:rPr>
        <w:t xml:space="preserve"> to </w:t>
      </w:r>
      <w:r w:rsidR="003E550F">
        <w:rPr>
          <w:szCs w:val="20"/>
        </w:rPr>
        <w:t>five</w:t>
      </w:r>
      <w:r w:rsidRPr="00317B17">
        <w:rPr>
          <w:szCs w:val="20"/>
        </w:rPr>
        <w:t xml:space="preserve"> students. Each group will </w:t>
      </w:r>
      <w:r w:rsidR="00CC1242" w:rsidRPr="00317B17">
        <w:rPr>
          <w:szCs w:val="20"/>
        </w:rPr>
        <w:t xml:space="preserve">collaboratively choose </w:t>
      </w:r>
      <w:r w:rsidRPr="00317B17">
        <w:rPr>
          <w:szCs w:val="20"/>
        </w:rPr>
        <w:t xml:space="preserve">a common </w:t>
      </w:r>
      <w:r w:rsidR="002E0310" w:rsidRPr="00317B17">
        <w:rPr>
          <w:szCs w:val="20"/>
        </w:rPr>
        <w:t xml:space="preserve">(social </w:t>
      </w:r>
      <w:r w:rsidR="00317B17" w:rsidRPr="00317B17">
        <w:rPr>
          <w:szCs w:val="20"/>
        </w:rPr>
        <w:t>justice</w:t>
      </w:r>
      <w:r w:rsidR="002E0310" w:rsidRPr="00317B17">
        <w:rPr>
          <w:szCs w:val="20"/>
        </w:rPr>
        <w:t xml:space="preserve">) </w:t>
      </w:r>
      <w:r w:rsidRPr="00317B17">
        <w:rPr>
          <w:szCs w:val="20"/>
        </w:rPr>
        <w:t xml:space="preserve">topic/issue to </w:t>
      </w:r>
      <w:r w:rsidR="001154EE" w:rsidRPr="00317B17">
        <w:rPr>
          <w:szCs w:val="20"/>
        </w:rPr>
        <w:t>work through from a macro</w:t>
      </w:r>
      <w:r w:rsidR="003E550F">
        <w:rPr>
          <w:szCs w:val="20"/>
        </w:rPr>
        <w:t>-</w:t>
      </w:r>
      <w:r w:rsidR="001154EE" w:rsidRPr="00317B17">
        <w:rPr>
          <w:szCs w:val="20"/>
        </w:rPr>
        <w:t xml:space="preserve">level </w:t>
      </w:r>
      <w:r w:rsidRPr="00317B17">
        <w:rPr>
          <w:szCs w:val="20"/>
        </w:rPr>
        <w:t>perspec</w:t>
      </w:r>
      <w:r w:rsidR="001154EE" w:rsidRPr="00317B17">
        <w:rPr>
          <w:szCs w:val="20"/>
        </w:rPr>
        <w:t>tive considering ideas for</w:t>
      </w:r>
      <w:r w:rsidRPr="00317B17">
        <w:rPr>
          <w:szCs w:val="20"/>
        </w:rPr>
        <w:t xml:space="preserve"> problem solving and advocacy. Students will be given time to work in class on this issue (within </w:t>
      </w:r>
      <w:r w:rsidR="003E550F">
        <w:rPr>
          <w:szCs w:val="20"/>
        </w:rPr>
        <w:t>U</w:t>
      </w:r>
      <w:r w:rsidRPr="00317B17">
        <w:rPr>
          <w:szCs w:val="20"/>
        </w:rPr>
        <w:t xml:space="preserve">nit </w:t>
      </w:r>
      <w:r w:rsidR="005A442F">
        <w:rPr>
          <w:szCs w:val="20"/>
        </w:rPr>
        <w:t>5</w:t>
      </w:r>
      <w:r w:rsidR="003E550F">
        <w:rPr>
          <w:szCs w:val="20"/>
        </w:rPr>
        <w:t>,</w:t>
      </w:r>
      <w:r w:rsidRPr="00317B17">
        <w:rPr>
          <w:szCs w:val="20"/>
        </w:rPr>
        <w:t xml:space="preserve"> </w:t>
      </w:r>
      <w:r w:rsidR="003E550F">
        <w:rPr>
          <w:szCs w:val="20"/>
        </w:rPr>
        <w:t>W</w:t>
      </w:r>
      <w:r w:rsidRPr="00317B17">
        <w:rPr>
          <w:szCs w:val="20"/>
        </w:rPr>
        <w:t>eek 1</w:t>
      </w:r>
      <w:r w:rsidR="005A442F">
        <w:rPr>
          <w:szCs w:val="20"/>
        </w:rPr>
        <w:t>0</w:t>
      </w:r>
      <w:r w:rsidRPr="00317B17">
        <w:rPr>
          <w:szCs w:val="20"/>
        </w:rPr>
        <w:t xml:space="preserve">). In </w:t>
      </w:r>
      <w:r w:rsidR="003E550F">
        <w:rPr>
          <w:szCs w:val="20"/>
        </w:rPr>
        <w:t>U</w:t>
      </w:r>
      <w:r w:rsidRPr="00317B17">
        <w:rPr>
          <w:szCs w:val="20"/>
        </w:rPr>
        <w:t xml:space="preserve">nit </w:t>
      </w:r>
      <w:r w:rsidR="001D67BB">
        <w:rPr>
          <w:szCs w:val="20"/>
        </w:rPr>
        <w:t>6</w:t>
      </w:r>
      <w:r w:rsidR="003E550F">
        <w:rPr>
          <w:szCs w:val="20"/>
        </w:rPr>
        <w:t>,</w:t>
      </w:r>
      <w:r w:rsidRPr="00317B17">
        <w:rPr>
          <w:szCs w:val="20"/>
        </w:rPr>
        <w:t xml:space="preserve"> students will present their proposed intervention to the class. Grades will be based upon required content, oral presentation</w:t>
      </w:r>
      <w:r w:rsidR="003E550F">
        <w:rPr>
          <w:szCs w:val="20"/>
        </w:rPr>
        <w:t>,</w:t>
      </w:r>
      <w:r w:rsidRPr="00317B17">
        <w:rPr>
          <w:szCs w:val="20"/>
        </w:rPr>
        <w:t xml:space="preserve"> and submission of the PowerPoint</w:t>
      </w:r>
      <w:r w:rsidR="003E550F">
        <w:rPr>
          <w:szCs w:val="20"/>
        </w:rPr>
        <w:t xml:space="preserve"> presentation</w:t>
      </w:r>
      <w:r w:rsidRPr="00317B17">
        <w:rPr>
          <w:szCs w:val="20"/>
        </w:rPr>
        <w:t xml:space="preserve">. </w:t>
      </w:r>
    </w:p>
    <w:p w:rsidR="0034728E" w:rsidRDefault="0034728E" w:rsidP="0034728E">
      <w:pPr>
        <w:pStyle w:val="BodyText"/>
        <w:spacing w:before="240"/>
        <w:rPr>
          <w:b/>
        </w:rPr>
      </w:pPr>
      <w:r>
        <w:rPr>
          <w:b/>
        </w:rPr>
        <w:t>Due:</w:t>
      </w:r>
      <w:r w:rsidR="00334D7A">
        <w:t xml:space="preserve"> </w:t>
      </w:r>
      <w:r w:rsidR="002438BA">
        <w:rPr>
          <w:b/>
        </w:rPr>
        <w:t xml:space="preserve">PowerPoint </w:t>
      </w:r>
      <w:r w:rsidR="00872CFF">
        <w:rPr>
          <w:b/>
        </w:rPr>
        <w:t>and P</w:t>
      </w:r>
      <w:r w:rsidR="004D4762">
        <w:rPr>
          <w:b/>
        </w:rPr>
        <w:t>resentation within U</w:t>
      </w:r>
      <w:r w:rsidR="00D646DE">
        <w:rPr>
          <w:b/>
        </w:rPr>
        <w:t xml:space="preserve">nit </w:t>
      </w:r>
      <w:r w:rsidR="003337D0">
        <w:rPr>
          <w:b/>
        </w:rPr>
        <w:t>6</w:t>
      </w:r>
      <w:r w:rsidR="00D646DE">
        <w:rPr>
          <w:b/>
        </w:rPr>
        <w:t xml:space="preserve"> (W</w:t>
      </w:r>
      <w:r>
        <w:rPr>
          <w:b/>
        </w:rPr>
        <w:t>eek</w:t>
      </w:r>
      <w:r w:rsidR="009049C8">
        <w:rPr>
          <w:b/>
        </w:rPr>
        <w:t xml:space="preserve"> 12</w:t>
      </w:r>
      <w:r>
        <w:rPr>
          <w:b/>
        </w:rPr>
        <w:t>)</w:t>
      </w:r>
    </w:p>
    <w:p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rsidR="00B44520" w:rsidRPr="0034728E" w:rsidRDefault="00B44520" w:rsidP="0034728E"/>
    <w:p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p>
    <w:p w:rsidR="001625C0" w:rsidRPr="00AA7EFD" w:rsidRDefault="001625C0" w:rsidP="001625C0">
      <w:pPr>
        <w:pStyle w:val="BodyText"/>
        <w:spacing w:after="0"/>
        <w:rPr>
          <w:bCs/>
        </w:rPr>
      </w:pPr>
      <w:r w:rsidRPr="00AA7EFD">
        <w:t xml:space="preserve">Assignment </w:t>
      </w:r>
      <w:r>
        <w:t>3</w:t>
      </w:r>
      <w:r w:rsidRPr="00AA7EFD">
        <w:t xml:space="preserve"> is ongoing participation of students </w:t>
      </w:r>
      <w:r w:rsidRPr="00AA7EFD">
        <w:rPr>
          <w:bCs/>
        </w:rPr>
        <w:t>within outside class forums created by the instructor.</w:t>
      </w:r>
      <w:r w:rsidR="00334D7A">
        <w:rPr>
          <w:bCs/>
        </w:rPr>
        <w:t xml:space="preserve"> </w:t>
      </w:r>
      <w:r w:rsidRPr="00AA7EFD">
        <w:rPr>
          <w:bCs/>
        </w:rPr>
        <w:t>The instructor will post a vignette/current event/social media issue or event/links</w:t>
      </w:r>
      <w:r w:rsidR="00E82F21">
        <w:rPr>
          <w:bCs/>
        </w:rPr>
        <w:t xml:space="preserve"> </w:t>
      </w:r>
      <w:r w:rsidR="00E73415" w:rsidRPr="00E11CB9">
        <w:rPr>
          <w:bCs/>
        </w:rPr>
        <w:t>on the Forum Page in the assignment uploads section</w:t>
      </w:r>
      <w:r w:rsidRPr="00AA7EFD">
        <w:rPr>
          <w:bCs/>
        </w:rPr>
        <w:t>.</w:t>
      </w:r>
      <w:r w:rsidR="00334D7A">
        <w:rPr>
          <w:bCs/>
        </w:rPr>
        <w:t xml:space="preserve"> </w:t>
      </w:r>
      <w:r w:rsidRPr="00AA7EFD">
        <w:rPr>
          <w:bCs/>
        </w:rPr>
        <w:t xml:space="preserve">The students must participate by providing at least </w:t>
      </w:r>
      <w:r w:rsidR="003E550F">
        <w:rPr>
          <w:bCs/>
        </w:rPr>
        <w:t>four</w:t>
      </w:r>
      <w:r w:rsidRPr="00AA7EFD">
        <w:rPr>
          <w:bCs/>
        </w:rPr>
        <w:t xml:space="preserve"> different forum posts/feedback per semester.</w:t>
      </w:r>
      <w:r w:rsidR="00334D7A">
        <w:rPr>
          <w:bCs/>
        </w:rPr>
        <w:t xml:space="preserve"> </w:t>
      </w:r>
      <w:r w:rsidRPr="00AA7EFD">
        <w:rPr>
          <w:bCs/>
        </w:rPr>
        <w:t>Additionally</w:t>
      </w:r>
      <w:r w:rsidR="003E550F">
        <w:rPr>
          <w:bCs/>
        </w:rPr>
        <w:t>,</w:t>
      </w:r>
      <w:r w:rsidRPr="00AA7EFD">
        <w:rPr>
          <w:bCs/>
        </w:rPr>
        <w:t xml:space="preserve"> each forum post must be at least </w:t>
      </w:r>
      <w:r w:rsidR="003E550F">
        <w:rPr>
          <w:bCs/>
        </w:rPr>
        <w:t>three to five</w:t>
      </w:r>
      <w:r w:rsidRPr="00AA7EFD">
        <w:rPr>
          <w:bCs/>
        </w:rPr>
        <w:t xml:space="preserve"> sentences.</w:t>
      </w:r>
      <w:r w:rsidR="00334D7A">
        <w:rPr>
          <w:bCs/>
        </w:rPr>
        <w:t xml:space="preserve"> </w:t>
      </w:r>
      <w:r w:rsidRPr="00AA7EFD">
        <w:rPr>
          <w:bCs/>
        </w:rPr>
        <w:t xml:space="preserve">Students must complete at least </w:t>
      </w:r>
      <w:r w:rsidR="003E550F">
        <w:rPr>
          <w:bCs/>
        </w:rPr>
        <w:t>two</w:t>
      </w:r>
      <w:r w:rsidR="00453AF3">
        <w:rPr>
          <w:bCs/>
        </w:rPr>
        <w:t xml:space="preserve"> different</w:t>
      </w:r>
      <w:r w:rsidRPr="00AA7EFD">
        <w:rPr>
          <w:bCs/>
        </w:rPr>
        <w:t xml:space="preserve"> for</w:t>
      </w:r>
      <w:r w:rsidR="00453AF3">
        <w:rPr>
          <w:bCs/>
        </w:rPr>
        <w:t xml:space="preserve">um posts by Week 9 and a total of </w:t>
      </w:r>
      <w:r w:rsidR="003E550F">
        <w:rPr>
          <w:bCs/>
        </w:rPr>
        <w:t>four</w:t>
      </w:r>
      <w:r w:rsidR="00453AF3">
        <w:rPr>
          <w:bCs/>
        </w:rPr>
        <w:t xml:space="preserve"> different forum posts by Week 13</w:t>
      </w:r>
      <w:r w:rsidRPr="00AA7EFD">
        <w:rPr>
          <w:bCs/>
        </w:rPr>
        <w:t>.</w:t>
      </w:r>
    </w:p>
    <w:p w:rsidR="007E482B" w:rsidRPr="00AA7EFD" w:rsidRDefault="007E482B" w:rsidP="00E11CB9">
      <w:pPr>
        <w:pStyle w:val="BodyText"/>
        <w:spacing w:before="240" w:after="0"/>
      </w:pPr>
      <w:r w:rsidRPr="00AA7EFD">
        <w:rPr>
          <w:b/>
        </w:rPr>
        <w:lastRenderedPageBreak/>
        <w:t>Due:</w:t>
      </w:r>
      <w:r w:rsidR="00334D7A">
        <w:t xml:space="preserve"> </w:t>
      </w:r>
      <w:r w:rsidRPr="00AA7EFD">
        <w:rPr>
          <w:b/>
        </w:rPr>
        <w:t xml:space="preserve">Minimum of </w:t>
      </w:r>
      <w:r w:rsidR="003E550F">
        <w:rPr>
          <w:b/>
        </w:rPr>
        <w:t>two</w:t>
      </w:r>
      <w:r w:rsidRPr="00AA7EFD">
        <w:rPr>
          <w:b/>
        </w:rPr>
        <w:t xml:space="preserve"> forum post</w:t>
      </w:r>
      <w:r w:rsidR="003E550F">
        <w:rPr>
          <w:b/>
        </w:rPr>
        <w:t>s</w:t>
      </w:r>
      <w:r w:rsidRPr="00AA7EFD">
        <w:rPr>
          <w:b/>
        </w:rPr>
        <w:t xml:space="preserve"> by Unit 5 (Week 9) and complete </w:t>
      </w:r>
      <w:r>
        <w:rPr>
          <w:b/>
        </w:rPr>
        <w:t xml:space="preserve">all </w:t>
      </w:r>
      <w:r w:rsidR="003E550F">
        <w:rPr>
          <w:b/>
        </w:rPr>
        <w:t>four</w:t>
      </w:r>
      <w:r>
        <w:rPr>
          <w:b/>
        </w:rPr>
        <w:t xml:space="preserve"> different</w:t>
      </w:r>
      <w:r w:rsidRPr="00AA7EFD">
        <w:rPr>
          <w:b/>
        </w:rPr>
        <w:t xml:space="preserve"> forum post</w:t>
      </w:r>
      <w:r>
        <w:rPr>
          <w:b/>
        </w:rPr>
        <w:t>s</w:t>
      </w:r>
      <w:r w:rsidRPr="00AA7EFD">
        <w:rPr>
          <w:b/>
        </w:rPr>
        <w:t xml:space="preserve"> by the beginning of Unit 7 (Week 13)</w:t>
      </w:r>
      <w:r w:rsidR="00D452F0">
        <w:rPr>
          <w:b/>
        </w:rPr>
        <w:t xml:space="preserve">. The posting is </w:t>
      </w:r>
      <w:r w:rsidR="00D452F0" w:rsidRPr="00D452F0">
        <w:rPr>
          <w:b/>
        </w:rPr>
        <w:t>done on the Forum Page in the assignment uploads section</w:t>
      </w:r>
      <w:r w:rsidR="00D452F0">
        <w:rPr>
          <w:b/>
        </w:rPr>
        <w:t xml:space="preserve"> in the VAC</w:t>
      </w:r>
      <w:r w:rsidR="00D452F0" w:rsidRPr="00D452F0">
        <w:rPr>
          <w:b/>
        </w:rPr>
        <w:t>. Students must complete at least two forum posts by Unit 5 (Week 9) and all four different forum posts by Week 13.</w:t>
      </w:r>
    </w:p>
    <w:p w:rsidR="003E550F" w:rsidRDefault="003E550F" w:rsidP="00E11CB9">
      <w:pPr>
        <w:pStyle w:val="Heading2"/>
        <w:spacing w:after="0"/>
      </w:pPr>
    </w:p>
    <w:p w:rsidR="003E550F" w:rsidRDefault="003E550F" w:rsidP="00E11CB9">
      <w:pPr>
        <w:pStyle w:val="Heading2"/>
        <w:spacing w:after="0"/>
      </w:pPr>
    </w:p>
    <w:p w:rsidR="00B44520" w:rsidRDefault="00B44520" w:rsidP="00E11CB9">
      <w:pPr>
        <w:pStyle w:val="Heading2"/>
        <w:spacing w:after="0"/>
      </w:pPr>
      <w:r>
        <w:t xml:space="preserve">Assignment 4: Class </w:t>
      </w:r>
      <w:r w:rsidR="003E550F">
        <w:t>P</w:t>
      </w:r>
      <w:r>
        <w:t xml:space="preserve">articipation and </w:t>
      </w:r>
      <w:r w:rsidR="003E550F">
        <w:t>D</w:t>
      </w:r>
      <w:r>
        <w:t>iscussion</w:t>
      </w:r>
    </w:p>
    <w:p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rsidR="00D646DE" w:rsidRPr="00EB77A5" w:rsidRDefault="00D646DE" w:rsidP="00EB77A5"/>
    <w:p w:rsidR="00872835" w:rsidRDefault="00872835" w:rsidP="00872835">
      <w:pPr>
        <w:spacing w:after="240"/>
        <w:rPr>
          <w:rFonts w:cs="Arial"/>
          <w:b/>
          <w:szCs w:val="24"/>
        </w:rPr>
      </w:pPr>
      <w:r>
        <w:rPr>
          <w:rFonts w:cs="Arial"/>
          <w:b/>
          <w:szCs w:val="24"/>
        </w:rPr>
        <w:t>Guidelines for Evaluating Class Participation and In-Class Assignments</w:t>
      </w:r>
    </w:p>
    <w:p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90%: Very Good Contributor</w:t>
      </w:r>
      <w:r w:rsidR="00450A77">
        <w:rPr>
          <w:rFonts w:cs="Arial"/>
          <w:szCs w:val="24"/>
        </w:rPr>
        <w:t>—</w:t>
      </w:r>
      <w:r>
        <w:rPr>
          <w:rFonts w:cs="Arial"/>
          <w:szCs w:val="24"/>
        </w:rPr>
        <w:t>Contributions in class reflect thorough preparation and frequency in participation is high. Ideas offered are usually substantive, provide good insights</w:t>
      </w:r>
      <w:r w:rsidR="00450A77">
        <w:rPr>
          <w:rFonts w:cs="Arial"/>
          <w:szCs w:val="24"/>
        </w:rPr>
        <w:t>,</w:t>
      </w:r>
      <w:r>
        <w:rPr>
          <w:rFonts w:cs="Arial"/>
          <w:szCs w:val="24"/>
        </w:rP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rsidR="00872835" w:rsidRDefault="00872835" w:rsidP="00872835">
      <w:pPr>
        <w:spacing w:after="240"/>
        <w:rPr>
          <w:rFonts w:cs="Arial"/>
          <w:szCs w:val="24"/>
        </w:rPr>
      </w:pPr>
      <w:r>
        <w:rPr>
          <w:rFonts w:cs="Arial"/>
          <w:szCs w:val="24"/>
        </w:rPr>
        <w:lastRenderedPageBreak/>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rsidR="00872835" w:rsidRDefault="00872835" w:rsidP="00872835">
      <w:pPr>
        <w:pStyle w:val="Heading2"/>
      </w:pPr>
      <w:r>
        <w:t>Additional Expectations and Guidelines</w:t>
      </w:r>
    </w:p>
    <w:p w:rsidR="00872835" w:rsidRDefault="00872835" w:rsidP="00872835">
      <w:pPr>
        <w:pStyle w:val="BodyText"/>
      </w:pPr>
      <w:r>
        <w:t xml:space="preserve">Students are expected to contribute to the development of a positive learning environment and to demonstrate their learning through written and oral assignments and through active class participation. </w:t>
      </w:r>
    </w:p>
    <w:p w:rsidR="00872835" w:rsidRDefault="00872835" w:rsidP="00872835">
      <w:pPr>
        <w:pStyle w:val="Heading2"/>
      </w:pPr>
      <w:r>
        <w:t>Expectations</w:t>
      </w:r>
    </w:p>
    <w:p w:rsidR="00872835" w:rsidRDefault="00872835" w:rsidP="00872835">
      <w:pPr>
        <w:pStyle w:val="Additional"/>
      </w:pPr>
      <w:r>
        <w:t>1.</w:t>
      </w:r>
      <w:r>
        <w:tab/>
        <w:t>Students are expected to complete all written and other assignments on time.</w:t>
      </w:r>
    </w:p>
    <w:p w:rsidR="00872835" w:rsidRDefault="00872835" w:rsidP="00872835">
      <w:pPr>
        <w:pStyle w:val="Additional"/>
      </w:pPr>
      <w:r>
        <w:t>2.</w:t>
      </w:r>
      <w:r>
        <w:tab/>
        <w:t>Students are encouraged to share readings gleaned from their field placement, as well as from other class assignments.</w:t>
      </w:r>
    </w:p>
    <w:p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rsidR="00872835" w:rsidRDefault="00872835" w:rsidP="00872835">
      <w:pPr>
        <w:pStyle w:val="Additional"/>
      </w:pPr>
      <w:r>
        <w:t>4.</w:t>
      </w:r>
      <w:r>
        <w:tab/>
        <w:t>Active participation is required of all students and will be considered in your final evaluation.</w:t>
      </w:r>
    </w:p>
    <w:p w:rsidR="00872835" w:rsidRDefault="00872835" w:rsidP="00872835">
      <w:pPr>
        <w:pStyle w:val="Additional"/>
      </w:pPr>
      <w:r>
        <w:t>5.</w:t>
      </w:r>
      <w:r>
        <w:tab/>
        <w:t>Problem solving, identification of issues of concern, and learning needs should evolve from the group.</w:t>
      </w:r>
    </w:p>
    <w:p w:rsidR="00872835" w:rsidRDefault="00872835" w:rsidP="00872835">
      <w:pPr>
        <w:pStyle w:val="Additional"/>
      </w:pPr>
      <w:r>
        <w:t>6.</w:t>
      </w:r>
      <w:r>
        <w:tab/>
        <w:t>Periodic evaluation of the course experience will be conducted. Students will be asked to complete a written evaluation at the end of the semester.</w:t>
      </w:r>
    </w:p>
    <w:p w:rsidR="00152A19" w:rsidRDefault="00152A19" w:rsidP="00872835">
      <w:pPr>
        <w:pStyle w:val="Heading2"/>
        <w:spacing w:before="220"/>
      </w:pPr>
    </w:p>
    <w:p w:rsidR="00872835" w:rsidRDefault="00872835" w:rsidP="00872835">
      <w:pPr>
        <w:pStyle w:val="Heading2"/>
        <w:spacing w:before="220"/>
      </w:pPr>
      <w:r>
        <w:t>Guidelines</w:t>
      </w:r>
    </w:p>
    <w:p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872835" w:rsidRDefault="00872835" w:rsidP="00872835">
      <w:pPr>
        <w:pStyle w:val="Additional"/>
      </w:pPr>
      <w:r>
        <w:t>1.</w:t>
      </w:r>
      <w:r>
        <w:tab/>
        <w:t>Every person participating in the program is of equal worth and value.</w:t>
      </w:r>
    </w:p>
    <w:p w:rsidR="00872835" w:rsidRDefault="00872835" w:rsidP="00872835">
      <w:pPr>
        <w:pStyle w:val="Additional"/>
      </w:pPr>
      <w:r>
        <w:t>2.</w:t>
      </w:r>
      <w:r>
        <w:tab/>
        <w:t>All opinions are valued and needed, even those with which you do not agree!</w:t>
      </w:r>
    </w:p>
    <w:p w:rsidR="00872835" w:rsidRDefault="00872835" w:rsidP="00872835">
      <w:pPr>
        <w:pStyle w:val="Additional"/>
      </w:pPr>
      <w:r>
        <w:t>3.</w:t>
      </w:r>
      <w:r>
        <w:tab/>
        <w:t>Please speak in “I” terms: “I think,” “I believe,” “It’s been my experience that,” etc.</w:t>
      </w:r>
    </w:p>
    <w:p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rsidR="00872835" w:rsidRDefault="00872835" w:rsidP="00872835">
      <w:pPr>
        <w:pStyle w:val="Additional"/>
      </w:pPr>
      <w:r>
        <w:t>5.</w:t>
      </w:r>
      <w:r>
        <w:tab/>
        <w:t xml:space="preserve">We want you to take home whatever you learn here. However, personal and client information shared in class is confidential. </w:t>
      </w:r>
    </w:p>
    <w:p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rsidR="00872835" w:rsidRDefault="00872835" w:rsidP="00872835">
      <w:pPr>
        <w:pStyle w:val="Additional"/>
      </w:pPr>
      <w:r>
        <w:t>7.</w:t>
      </w:r>
      <w:r>
        <w:tab/>
        <w:t>This course’s content is shared by each member’s contributions to the class discussion.</w:t>
      </w:r>
    </w:p>
    <w:p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rsidR="00872835" w:rsidRDefault="00872835" w:rsidP="00872835">
      <w:pPr>
        <w:pStyle w:val="Heading2"/>
      </w:pPr>
      <w:r>
        <w:lastRenderedPageBreak/>
        <w:t>Grading</w:t>
      </w:r>
    </w:p>
    <w:p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in order to receive a CR.</w:t>
      </w:r>
    </w:p>
    <w:p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872835" w:rsidRDefault="00872835">
            <w:pPr>
              <w:keepNext/>
              <w:jc w:val="center"/>
              <w:rPr>
                <w:rFonts w:cs="Arial"/>
                <w:b/>
                <w:bCs/>
                <w:color w:val="FFFFFF"/>
              </w:rPr>
            </w:pPr>
            <w:r>
              <w:rPr>
                <w:rFonts w:cs="Arial"/>
                <w:b/>
                <w:bCs/>
                <w:color w:val="FFFFFF"/>
              </w:rPr>
              <w:t>Final Grade</w:t>
            </w:r>
          </w:p>
        </w:tc>
      </w:tr>
      <w:tr w:rsidR="00070EB1" w:rsidTr="00070EB1">
        <w:trPr>
          <w:cantSplit/>
          <w:trHeight w:val="268"/>
        </w:trPr>
        <w:tc>
          <w:tcPr>
            <w:tcW w:w="2344"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r>
      <w:tr w:rsidR="00070EB1"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r>
    </w:tbl>
    <w:p w:rsidR="00664DA1" w:rsidRPr="00EF3DB0" w:rsidRDefault="00664DA1" w:rsidP="00726A3E">
      <w:pPr>
        <w:pStyle w:val="Heading1"/>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rsidR="00872835" w:rsidRPr="00A8448D" w:rsidRDefault="00872835" w:rsidP="00872835">
      <w:pPr>
        <w:pStyle w:val="Heading2"/>
        <w:rPr>
          <w:sz w:val="22"/>
        </w:rPr>
      </w:pPr>
      <w:r w:rsidRPr="00A8448D">
        <w:rPr>
          <w:sz w:val="22"/>
        </w:rPr>
        <w:t xml:space="preserve">Required Textbook </w:t>
      </w:r>
    </w:p>
    <w:p w:rsidR="00872835" w:rsidRPr="00E74326" w:rsidRDefault="001F38C0" w:rsidP="00872835">
      <w:pPr>
        <w:autoSpaceDE w:val="0"/>
        <w:autoSpaceDN w:val="0"/>
        <w:adjustRightInd w:val="0"/>
        <w:rPr>
          <w:rFonts w:cs="Arial"/>
          <w:i/>
          <w:color w:val="000000"/>
          <w:szCs w:val="16"/>
        </w:rPr>
      </w:pPr>
      <w:r>
        <w:rPr>
          <w:rFonts w:cs="Arial"/>
          <w:color w:val="000000"/>
          <w:szCs w:val="16"/>
        </w:rPr>
        <w:t>Soydan, H.</w:t>
      </w:r>
      <w:r w:rsidR="00152A19">
        <w:rPr>
          <w:rFonts w:cs="Arial"/>
          <w:color w:val="000000"/>
          <w:szCs w:val="16"/>
        </w:rPr>
        <w:t>,</w:t>
      </w:r>
      <w:r>
        <w:rPr>
          <w:rFonts w:cs="Arial"/>
          <w:color w:val="000000"/>
          <w:szCs w:val="16"/>
        </w:rPr>
        <w:t xml:space="preserve"> &amp;</w:t>
      </w:r>
      <w:r w:rsidR="00872835" w:rsidRPr="00A8448D">
        <w:rPr>
          <w:rFonts w:cs="Arial"/>
          <w:color w:val="000000"/>
          <w:szCs w:val="16"/>
        </w:rPr>
        <w:t xml:space="preserve"> Palinkas, L</w:t>
      </w:r>
      <w:r w:rsidR="00E74326">
        <w:rPr>
          <w:rFonts w:cs="Arial"/>
          <w:color w:val="000000"/>
          <w:szCs w:val="16"/>
        </w:rPr>
        <w:t>.</w:t>
      </w:r>
      <w:r w:rsidR="00872835" w:rsidRPr="00A8448D">
        <w:rPr>
          <w:rFonts w:cs="Arial"/>
          <w:color w:val="000000"/>
          <w:szCs w:val="16"/>
        </w:rPr>
        <w:t xml:space="preserve"> A. (2014). </w:t>
      </w:r>
      <w:r w:rsidR="00872835" w:rsidRPr="00E74326">
        <w:rPr>
          <w:rFonts w:cs="Arial"/>
          <w:i/>
          <w:color w:val="000000"/>
          <w:szCs w:val="16"/>
        </w:rPr>
        <w:t xml:space="preserve">Evidence-based </w:t>
      </w:r>
      <w:r w:rsidR="00152A19">
        <w:rPr>
          <w:rFonts w:cs="Arial"/>
          <w:i/>
          <w:color w:val="000000"/>
          <w:szCs w:val="16"/>
        </w:rPr>
        <w:t>p</w:t>
      </w:r>
      <w:r w:rsidR="00872835" w:rsidRPr="00E74326">
        <w:rPr>
          <w:rFonts w:cs="Arial"/>
          <w:i/>
          <w:color w:val="000000"/>
          <w:szCs w:val="16"/>
        </w:rPr>
        <w:t xml:space="preserve">ractice in </w:t>
      </w:r>
      <w:r w:rsidR="00152A19">
        <w:rPr>
          <w:rFonts w:cs="Arial"/>
          <w:i/>
          <w:color w:val="000000"/>
          <w:szCs w:val="16"/>
        </w:rPr>
        <w:t>s</w:t>
      </w:r>
      <w:r w:rsidR="00872835" w:rsidRPr="00E74326">
        <w:rPr>
          <w:rFonts w:cs="Arial"/>
          <w:i/>
          <w:color w:val="000000"/>
          <w:szCs w:val="16"/>
        </w:rPr>
        <w:t xml:space="preserve">ocial </w:t>
      </w:r>
      <w:r w:rsidR="00152A19">
        <w:rPr>
          <w:rFonts w:cs="Arial"/>
          <w:i/>
          <w:color w:val="000000"/>
          <w:szCs w:val="16"/>
        </w:rPr>
        <w:t>w</w:t>
      </w:r>
      <w:r w:rsidR="00872835" w:rsidRPr="00E74326">
        <w:rPr>
          <w:rFonts w:cs="Arial"/>
          <w:i/>
          <w:color w:val="000000"/>
          <w:szCs w:val="16"/>
        </w:rPr>
        <w:t xml:space="preserve">ork: Development of </w:t>
      </w:r>
    </w:p>
    <w:p w:rsidR="00872835" w:rsidRPr="00E74326" w:rsidRDefault="00872835" w:rsidP="00667234">
      <w:pPr>
        <w:pStyle w:val="BodyText"/>
        <w:ind w:firstLine="720"/>
        <w:rPr>
          <w:i/>
          <w:color w:val="000000"/>
          <w:szCs w:val="16"/>
        </w:rPr>
      </w:pPr>
      <w:r w:rsidRPr="00E74326">
        <w:rPr>
          <w:i/>
          <w:color w:val="000000"/>
          <w:szCs w:val="16"/>
        </w:rPr>
        <w:t xml:space="preserve">a </w:t>
      </w:r>
      <w:r w:rsidR="00152A19">
        <w:rPr>
          <w:i/>
          <w:color w:val="000000"/>
          <w:szCs w:val="16"/>
        </w:rPr>
        <w:t>n</w:t>
      </w:r>
      <w:r w:rsidRPr="00E74326">
        <w:rPr>
          <w:i/>
          <w:color w:val="000000"/>
          <w:szCs w:val="16"/>
        </w:rPr>
        <w:t xml:space="preserve">ew </w:t>
      </w:r>
      <w:r w:rsidR="00152A19">
        <w:rPr>
          <w:i/>
          <w:color w:val="000000"/>
          <w:szCs w:val="16"/>
        </w:rPr>
        <w:t>p</w:t>
      </w:r>
      <w:r w:rsidRPr="00E74326">
        <w:rPr>
          <w:i/>
          <w:color w:val="000000"/>
          <w:szCs w:val="16"/>
        </w:rPr>
        <w:t>rofe</w:t>
      </w:r>
      <w:r w:rsidR="00E74326" w:rsidRPr="00E74326">
        <w:rPr>
          <w:i/>
          <w:color w:val="000000"/>
          <w:szCs w:val="16"/>
        </w:rPr>
        <w:t xml:space="preserve">ssional </w:t>
      </w:r>
      <w:r w:rsidR="00152A19">
        <w:rPr>
          <w:i/>
          <w:color w:val="000000"/>
          <w:szCs w:val="16"/>
        </w:rPr>
        <w:t>c</w:t>
      </w:r>
      <w:r w:rsidR="00E74326" w:rsidRPr="00E74326">
        <w:rPr>
          <w:i/>
          <w:color w:val="000000"/>
          <w:szCs w:val="16"/>
        </w:rPr>
        <w:t>ulture.</w:t>
      </w:r>
      <w:r w:rsidR="001F38C0" w:rsidRPr="001F38C0">
        <w:t xml:space="preserve"> </w:t>
      </w:r>
      <w:r w:rsidR="001F38C0" w:rsidRPr="001F38C0">
        <w:rPr>
          <w:color w:val="000000"/>
          <w:szCs w:val="16"/>
        </w:rPr>
        <w:t>New York</w:t>
      </w:r>
      <w:r w:rsidR="00152A19">
        <w:rPr>
          <w:color w:val="000000"/>
          <w:szCs w:val="16"/>
        </w:rPr>
        <w:t>, NY</w:t>
      </w:r>
      <w:r w:rsidR="001F38C0" w:rsidRPr="001F38C0">
        <w:rPr>
          <w:color w:val="000000"/>
          <w:szCs w:val="16"/>
        </w:rPr>
        <w:t>: Routledge.</w:t>
      </w:r>
    </w:p>
    <w:p w:rsidR="009A0667" w:rsidRPr="009A0667" w:rsidRDefault="009A0667" w:rsidP="009A0667">
      <w:pPr>
        <w:pStyle w:val="BodyText"/>
        <w:ind w:firstLine="720"/>
        <w:rPr>
          <w:color w:val="000000"/>
          <w:szCs w:val="16"/>
        </w:rPr>
      </w:pPr>
      <w:r w:rsidRPr="009A0667">
        <w:rPr>
          <w:color w:val="000000"/>
          <w:szCs w:val="16"/>
        </w:rPr>
        <w:t xml:space="preserve">eBook: </w:t>
      </w:r>
      <w:r w:rsidRPr="00E11CB9">
        <w:rPr>
          <w:i/>
          <w:color w:val="000000"/>
          <w:szCs w:val="16"/>
        </w:rPr>
        <w:t xml:space="preserve">Evidence-based practice in social work: </w:t>
      </w:r>
      <w:r w:rsidR="00152A19" w:rsidRPr="00E11CB9">
        <w:rPr>
          <w:i/>
          <w:color w:val="000000"/>
          <w:szCs w:val="16"/>
        </w:rPr>
        <w:t>D</w:t>
      </w:r>
      <w:r w:rsidRPr="00E11CB9">
        <w:rPr>
          <w:i/>
          <w:color w:val="000000"/>
          <w:szCs w:val="16"/>
        </w:rPr>
        <w:t>evelopment of a new professional culture</w:t>
      </w:r>
    </w:p>
    <w:p w:rsidR="009A0667" w:rsidRPr="009A0667" w:rsidRDefault="009A0667" w:rsidP="009A0667">
      <w:pPr>
        <w:pStyle w:val="BodyText"/>
        <w:ind w:firstLine="720"/>
        <w:rPr>
          <w:color w:val="000000"/>
          <w:szCs w:val="16"/>
        </w:rPr>
      </w:pPr>
      <w:r w:rsidRPr="009A0667">
        <w:rPr>
          <w:color w:val="000000"/>
          <w:szCs w:val="16"/>
        </w:rPr>
        <w:t>by Soydan, Haluk, 1946- author; Palinkas, Lawrence A. author</w:t>
      </w:r>
    </w:p>
    <w:p w:rsidR="009A0667" w:rsidRDefault="009A0667" w:rsidP="009A0667">
      <w:pPr>
        <w:pStyle w:val="BodyText"/>
        <w:ind w:firstLine="720"/>
        <w:rPr>
          <w:color w:val="000000"/>
          <w:szCs w:val="16"/>
        </w:rPr>
      </w:pPr>
      <w:r w:rsidRPr="009A0667">
        <w:rPr>
          <w:color w:val="000000"/>
          <w:szCs w:val="16"/>
        </w:rPr>
        <w:t xml:space="preserve">Full </w:t>
      </w:r>
      <w:r>
        <w:rPr>
          <w:color w:val="000000"/>
          <w:szCs w:val="16"/>
        </w:rPr>
        <w:t>text online at USC Libraries</w:t>
      </w:r>
    </w:p>
    <w:p w:rsidR="009A0667" w:rsidRPr="00E11CB9" w:rsidRDefault="009A0667" w:rsidP="009A0667">
      <w:pPr>
        <w:shd w:val="clear" w:color="auto" w:fill="FFFFFF"/>
        <w:spacing w:after="60"/>
        <w:ind w:left="720"/>
        <w:textAlignment w:val="top"/>
        <w:rPr>
          <w:rFonts w:cs="Arial"/>
          <w:b/>
          <w:bCs/>
          <w:i/>
          <w:color w:val="000000"/>
          <w:sz w:val="23"/>
          <w:szCs w:val="23"/>
        </w:rPr>
      </w:pPr>
      <w:r w:rsidRPr="00E11CB9">
        <w:rPr>
          <w:rFonts w:cs="Arial"/>
          <w:b/>
          <w:bCs/>
          <w:i/>
          <w:color w:val="000000"/>
          <w:sz w:val="23"/>
          <w:szCs w:val="23"/>
        </w:rPr>
        <w:t xml:space="preserve">Evidence-based practice in social work: </w:t>
      </w:r>
      <w:r w:rsidR="00152A19" w:rsidRPr="00E11CB9">
        <w:rPr>
          <w:rFonts w:cs="Arial"/>
          <w:b/>
          <w:bCs/>
          <w:i/>
          <w:color w:val="000000"/>
          <w:sz w:val="23"/>
          <w:szCs w:val="23"/>
        </w:rPr>
        <w:t>D</w:t>
      </w:r>
      <w:r w:rsidRPr="00E11CB9">
        <w:rPr>
          <w:rFonts w:cs="Arial"/>
          <w:b/>
          <w:bCs/>
          <w:i/>
          <w:color w:val="000000"/>
          <w:sz w:val="23"/>
          <w:szCs w:val="23"/>
        </w:rPr>
        <w:t>evelopment of a new professional culture</w:t>
      </w:r>
    </w:p>
    <w:p w:rsidR="009A0667" w:rsidRPr="009A0667" w:rsidRDefault="009A0667" w:rsidP="009A0667">
      <w:pPr>
        <w:pBdr>
          <w:top w:val="single" w:sz="6" w:space="8" w:color="CCCCCC"/>
        </w:pBdr>
        <w:shd w:val="clear" w:color="auto" w:fill="FFFFFF"/>
        <w:spacing w:after="60"/>
        <w:textAlignment w:val="top"/>
        <w:rPr>
          <w:rFonts w:cs="Arial"/>
          <w:b/>
          <w:bCs/>
          <w:color w:val="7030A0"/>
          <w:sz w:val="18"/>
          <w:szCs w:val="18"/>
        </w:rPr>
      </w:pPr>
      <w:r w:rsidRPr="009A0667">
        <w:rPr>
          <w:rFonts w:cs="Arial"/>
          <w:b/>
          <w:bCs/>
          <w:color w:val="000000"/>
          <w:sz w:val="18"/>
          <w:szCs w:val="18"/>
        </w:rPr>
        <w:t>Electronic access:</w:t>
      </w:r>
      <w:r w:rsidR="00334D7A">
        <w:rPr>
          <w:rFonts w:cs="Arial"/>
          <w:b/>
          <w:bCs/>
          <w:color w:val="000000"/>
          <w:sz w:val="18"/>
          <w:szCs w:val="18"/>
        </w:rPr>
        <w:t xml:space="preserve"> </w:t>
      </w:r>
      <w:hyperlink r:id="rId17" w:history="1">
        <w:r w:rsidRPr="009A0667">
          <w:rPr>
            <w:rFonts w:cs="Arial"/>
            <w:color w:val="990000"/>
            <w:sz w:val="18"/>
            <w:szCs w:val="18"/>
            <w:u w:val="single"/>
          </w:rPr>
          <w:t>» Electronic Access</w:t>
        </w:r>
      </w:hyperlink>
      <w:r w:rsidR="00334D7A">
        <w:rPr>
          <w:rFonts w:cs="Arial"/>
          <w:color w:val="000000"/>
          <w:sz w:val="18"/>
          <w:szCs w:val="18"/>
        </w:rPr>
        <w:t xml:space="preserve"> </w:t>
      </w:r>
      <w:r>
        <w:rPr>
          <w:rFonts w:cs="Arial"/>
          <w:color w:val="7030A0"/>
          <w:sz w:val="18"/>
          <w:szCs w:val="18"/>
        </w:rPr>
        <w:t>CLICK on electronic access</w:t>
      </w:r>
    </w:p>
    <w:p w:rsidR="009A0667" w:rsidRPr="009A0667" w:rsidRDefault="001F38C0" w:rsidP="009A0667">
      <w:pPr>
        <w:pStyle w:val="BodyText"/>
        <w:ind w:firstLine="720"/>
        <w:rPr>
          <w:color w:val="000000"/>
          <w:szCs w:val="16"/>
        </w:rPr>
      </w:pPr>
      <w:r>
        <w:rPr>
          <w:color w:val="000000"/>
          <w:szCs w:val="16"/>
        </w:rPr>
        <w:t>`</w:t>
      </w:r>
      <w:r>
        <w:rPr>
          <w:color w:val="000000"/>
          <w:szCs w:val="16"/>
        </w:rPr>
        <w:tab/>
      </w:r>
      <w:r>
        <w:rPr>
          <w:color w:val="000000"/>
          <w:szCs w:val="16"/>
        </w:rPr>
        <w:tab/>
      </w:r>
      <w:r>
        <w:rPr>
          <w:color w:val="000000"/>
          <w:szCs w:val="16"/>
        </w:rPr>
        <w:tab/>
      </w:r>
    </w:p>
    <w:p w:rsidR="00091211" w:rsidRDefault="00091211" w:rsidP="00872835">
      <w:pPr>
        <w:rPr>
          <w:b/>
          <w:sz w:val="22"/>
        </w:rPr>
      </w:pPr>
    </w:p>
    <w:p w:rsidR="00A8448D" w:rsidRDefault="00091211" w:rsidP="00872835">
      <w:pPr>
        <w:rPr>
          <w:b/>
          <w:sz w:val="22"/>
        </w:rPr>
      </w:pPr>
      <w:r>
        <w:rPr>
          <w:b/>
          <w:sz w:val="22"/>
        </w:rPr>
        <w:t>Other Required Readings</w:t>
      </w:r>
    </w:p>
    <w:p w:rsidR="00091211" w:rsidRDefault="00091211" w:rsidP="00872835">
      <w:pPr>
        <w:rPr>
          <w:b/>
          <w:sz w:val="22"/>
        </w:rPr>
      </w:pPr>
    </w:p>
    <w:p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rsidR="00741F98" w:rsidRDefault="00741F98" w:rsidP="00741F98">
      <w:pPr>
        <w:ind w:firstLine="720"/>
      </w:pPr>
      <w:r>
        <w:t>doi:10.1093/sw/48.3.297</w:t>
      </w:r>
    </w:p>
    <w:p w:rsidR="00741F98" w:rsidRDefault="00741F98" w:rsidP="00A471AE"/>
    <w:p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rsidR="00A471AE" w:rsidRDefault="00A471AE" w:rsidP="00E11CB9">
      <w:pPr>
        <w:ind w:left="720"/>
      </w:pPr>
      <w:r>
        <w:rPr>
          <w:i/>
          <w:iCs/>
        </w:rPr>
        <w:t>Networker, 37</w:t>
      </w:r>
      <w:r w:rsidR="00152A19">
        <w:rPr>
          <w:i/>
          <w:iCs/>
        </w:rPr>
        <w:t>.</w:t>
      </w:r>
      <w:r>
        <w:t xml:space="preserve"> Retrieved from </w:t>
      </w:r>
      <w:hyperlink r:id="rId18" w:history="1">
        <w:r>
          <w:rPr>
            <w:rStyle w:val="Hyperlink"/>
          </w:rPr>
          <w:t>http://search.proquest.com/docview/1374369742?accountid=14749</w:t>
        </w:r>
      </w:hyperlink>
      <w:r w:rsidR="00152A19">
        <w:t>.</w:t>
      </w:r>
    </w:p>
    <w:p w:rsidR="00BD0C27" w:rsidRDefault="00BD0C27" w:rsidP="00BD0C27">
      <w:pPr>
        <w:ind w:left="720"/>
      </w:pPr>
    </w:p>
    <w:p w:rsidR="00BD0C27" w:rsidRPr="00BD0C27" w:rsidRDefault="00BD0C27" w:rsidP="00BD0C27">
      <w:r w:rsidRPr="00BD0C27">
        <w:t xml:space="preserve">Flores, M. P., De La Rue, L., Neville, H. A., Santiago, S., ben </w:t>
      </w:r>
      <w:proofErr w:type="spellStart"/>
      <w:r w:rsidRPr="00BD0C27">
        <w:t>Rakemayahu</w:t>
      </w:r>
      <w:proofErr w:type="spellEnd"/>
      <w:r w:rsidRPr="00BD0C27">
        <w:t xml:space="preserve">, K., </w:t>
      </w:r>
      <w:proofErr w:type="spellStart"/>
      <w:r w:rsidRPr="00BD0C27">
        <w:t>Garite</w:t>
      </w:r>
      <w:proofErr w:type="spellEnd"/>
      <w:r w:rsidRPr="00BD0C27">
        <w:t xml:space="preserve">, R., . . . Ginsburg, </w:t>
      </w:r>
    </w:p>
    <w:p w:rsidR="00BD0C27" w:rsidRPr="00BD0C27" w:rsidRDefault="00BD0C27" w:rsidP="00BD0C27">
      <w:pPr>
        <w:ind w:firstLine="720"/>
      </w:pPr>
      <w:r w:rsidRPr="00BD0C27">
        <w:t xml:space="preserve">R. (2014). Developing social justice competencies: A consultation training approach. The </w:t>
      </w:r>
    </w:p>
    <w:p w:rsidR="00BD0C27" w:rsidRPr="00BD0C27" w:rsidRDefault="00BD0C27" w:rsidP="00BD0C27">
      <w:pPr>
        <w:ind w:firstLine="720"/>
      </w:pPr>
      <w:r w:rsidRPr="00BD0C27">
        <w:t>Counseling Psychologist, 42(7), 998-1020.</w:t>
      </w:r>
    </w:p>
    <w:p w:rsidR="00BD0C27" w:rsidRPr="00BD0C27" w:rsidRDefault="00BD0C27" w:rsidP="00BD0C27">
      <w:pPr>
        <w:rPr>
          <w:b/>
          <w:sz w:val="22"/>
        </w:rPr>
      </w:pPr>
    </w:p>
    <w:p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rsidR="00BD0C27" w:rsidRPr="00BD0C27" w:rsidRDefault="00BD0C27" w:rsidP="00BD0C27">
      <w:pPr>
        <w:ind w:firstLine="720"/>
      </w:pPr>
      <w:r w:rsidRPr="00BD0C27">
        <w:t>Challenges for Social Work Initiative Working Paper No. 5). Cleveland, OH: American Academy</w:t>
      </w:r>
    </w:p>
    <w:p w:rsidR="00BD0C27" w:rsidRPr="00BD0C27" w:rsidRDefault="00BD0C27" w:rsidP="00BD0C27">
      <w:pPr>
        <w:ind w:firstLine="720"/>
      </w:pPr>
      <w:r w:rsidRPr="00BD0C27">
        <w:t>of Social Work and Social Welfare.</w:t>
      </w:r>
    </w:p>
    <w:p w:rsidR="00BD0C27" w:rsidRPr="00BD0C27" w:rsidRDefault="00BD0C27" w:rsidP="00BD0C27">
      <w:pPr>
        <w:rPr>
          <w:b/>
          <w:sz w:val="22"/>
        </w:rPr>
      </w:pPr>
    </w:p>
    <w:p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rsidR="00BD0C27" w:rsidRPr="00BD0C27" w:rsidRDefault="00BD0C27" w:rsidP="00BD0C27">
      <w:pPr>
        <w:ind w:firstLine="720"/>
      </w:pPr>
      <w:r w:rsidRPr="00BD0C27">
        <w:lastRenderedPageBreak/>
        <w:t>consultation. The Clinical Supervisor, 17(1), 83-93. doi:10.1300/J001v17n01_06</w:t>
      </w:r>
    </w:p>
    <w:p w:rsidR="00BD0C27" w:rsidRPr="00BD0C27" w:rsidRDefault="00BD0C27" w:rsidP="00BD0C27">
      <w:pPr>
        <w:rPr>
          <w:b/>
          <w:sz w:val="22"/>
        </w:rPr>
      </w:pPr>
    </w:p>
    <w:p w:rsidR="00A471AE" w:rsidRDefault="00A471AE" w:rsidP="00872835">
      <w:pPr>
        <w:rPr>
          <w:b/>
          <w:sz w:val="22"/>
        </w:rPr>
      </w:pPr>
    </w:p>
    <w:p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Pr>
          <w:rFonts w:eastAsiaTheme="minorHAnsi" w:cs="Arial"/>
          <w:color w:val="231F20"/>
        </w:rPr>
        <w:t xml:space="preserve">, </w:t>
      </w:r>
      <w:r w:rsidRPr="00E11CB9">
        <w:rPr>
          <w:rFonts w:eastAsiaTheme="minorHAnsi" w:cs="Arial"/>
          <w:i/>
          <w:color w:val="231F20"/>
        </w:rPr>
        <w:t>39</w:t>
      </w:r>
      <w:r>
        <w:rPr>
          <w:rFonts w:eastAsiaTheme="minorHAnsi" w:cs="Arial"/>
          <w:color w:val="231F20"/>
        </w:rPr>
        <w:t>, 1499–1517. doi:10.1093/</w:t>
      </w:r>
      <w:proofErr w:type="spellStart"/>
      <w:r>
        <w:rPr>
          <w:rFonts w:eastAsiaTheme="minorHAnsi" w:cs="Arial"/>
          <w:color w:val="231F20"/>
        </w:rPr>
        <w:t>bjsw</w:t>
      </w:r>
      <w:proofErr w:type="spellEnd"/>
      <w:r>
        <w:rPr>
          <w:rFonts w:eastAsiaTheme="minorHAnsi" w:cs="Arial"/>
          <w:color w:val="231F20"/>
        </w:rPr>
        <w:t>/bcn073</w:t>
      </w:r>
    </w:p>
    <w:p w:rsidR="00091211" w:rsidRDefault="00091211" w:rsidP="00091211">
      <w:pPr>
        <w:rPr>
          <w:rFonts w:cs="Arial"/>
        </w:rPr>
      </w:pPr>
    </w:p>
    <w:p w:rsidR="00091211" w:rsidRDefault="00091211" w:rsidP="00091211">
      <w:pPr>
        <w:rPr>
          <w:rFonts w:cs="Arial"/>
          <w:iCs/>
        </w:rPr>
      </w:pPr>
      <w:proofErr w:type="spellStart"/>
      <w:r>
        <w:rPr>
          <w:rFonts w:cs="Arial"/>
        </w:rPr>
        <w:t>Savery</w:t>
      </w:r>
      <w:proofErr w:type="spellEnd"/>
      <w:r>
        <w:rPr>
          <w:rFonts w:cs="Arial"/>
        </w:rPr>
        <w:t xml:space="preserve">, J. R. (2006). Overview of problem-based learning: Deﬁnitions and distinctions. </w:t>
      </w:r>
      <w:r w:rsidRPr="00E11CB9">
        <w:rPr>
          <w:rFonts w:cs="Arial"/>
          <w:i/>
          <w:iCs/>
        </w:rPr>
        <w:t>Interdisciplinary</w:t>
      </w:r>
      <w:r>
        <w:rPr>
          <w:rFonts w:cs="Arial"/>
          <w:iCs/>
        </w:rPr>
        <w:t xml:space="preserve"> </w:t>
      </w:r>
    </w:p>
    <w:p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Pr>
          <w:rFonts w:cs="Arial"/>
        </w:rPr>
        <w:t xml:space="preserve">, </w:t>
      </w:r>
      <w:r w:rsidRPr="00E11CB9">
        <w:rPr>
          <w:rFonts w:cs="Arial"/>
          <w:i/>
          <w:iCs/>
        </w:rPr>
        <w:t>1</w:t>
      </w:r>
      <w:r>
        <w:rPr>
          <w:rFonts w:cs="Arial"/>
        </w:rPr>
        <w:t>(1), 3.</w:t>
      </w:r>
    </w:p>
    <w:p w:rsidR="00091211" w:rsidRDefault="00091211" w:rsidP="00091211">
      <w:pPr>
        <w:rPr>
          <w:rFonts w:cs="Arial"/>
        </w:rPr>
      </w:pPr>
    </w:p>
    <w:p w:rsidR="006C68CB" w:rsidRDefault="001631CE" w:rsidP="006C68CB">
      <w:pPr>
        <w:rPr>
          <w:rFonts w:cs="Arial"/>
        </w:rPr>
      </w:pPr>
      <w:r>
        <w:rPr>
          <w:rFonts w:cs="Arial"/>
        </w:rPr>
        <w:t>Storz, C. (2002). Oral presentation skills A practical g</w:t>
      </w:r>
      <w:r w:rsidR="006C68CB">
        <w:rPr>
          <w:rFonts w:cs="Arial"/>
        </w:rPr>
        <w:t xml:space="preserve">uide. Retrieved from </w:t>
      </w:r>
    </w:p>
    <w:p w:rsidR="006C68CB" w:rsidRDefault="00477ED2" w:rsidP="006C68CB">
      <w:pPr>
        <w:ind w:firstLine="720"/>
        <w:rPr>
          <w:rFonts w:cs="Arial"/>
        </w:rPr>
      </w:pPr>
      <w:hyperlink r:id="rId19" w:history="1">
        <w:r w:rsidR="006C68CB">
          <w:rPr>
            <w:rStyle w:val="Hyperlink"/>
          </w:rPr>
          <w:t>http://people.engr.ncsu.edu/txie/publications/oral_presentation_skills.pdf</w:t>
        </w:r>
      </w:hyperlink>
      <w:r w:rsidR="00152A19">
        <w:t>.</w:t>
      </w:r>
    </w:p>
    <w:p w:rsidR="00091211" w:rsidRDefault="00091211" w:rsidP="00091211">
      <w:pPr>
        <w:rPr>
          <w:rFonts w:cs="Arial"/>
        </w:rPr>
      </w:pPr>
    </w:p>
    <w:p w:rsidR="001768E5" w:rsidRPr="00A8448D" w:rsidRDefault="001768E5" w:rsidP="00872835">
      <w:pPr>
        <w:rPr>
          <w:b/>
          <w:sz w:val="22"/>
        </w:rPr>
      </w:pPr>
    </w:p>
    <w:p w:rsidR="001631CE" w:rsidRDefault="001631CE" w:rsidP="00872835">
      <w:pPr>
        <w:rPr>
          <w:b/>
          <w:sz w:val="22"/>
        </w:rPr>
      </w:pPr>
    </w:p>
    <w:p w:rsidR="001631CE" w:rsidRDefault="001631CE" w:rsidP="00872835">
      <w:pPr>
        <w:rPr>
          <w:b/>
          <w:sz w:val="22"/>
        </w:rPr>
      </w:pPr>
    </w:p>
    <w:p w:rsidR="001631CE" w:rsidRDefault="001631CE" w:rsidP="00872835">
      <w:pPr>
        <w:rPr>
          <w:b/>
          <w:sz w:val="22"/>
        </w:rPr>
      </w:pPr>
    </w:p>
    <w:p w:rsidR="001631CE" w:rsidRDefault="001631CE" w:rsidP="00872835">
      <w:pPr>
        <w:rPr>
          <w:b/>
          <w:sz w:val="22"/>
        </w:rPr>
      </w:pPr>
    </w:p>
    <w:p w:rsidR="00872835" w:rsidRPr="00A8448D" w:rsidRDefault="00872835" w:rsidP="00872835">
      <w:pPr>
        <w:rPr>
          <w:b/>
          <w:sz w:val="22"/>
        </w:rPr>
      </w:pPr>
      <w:r w:rsidRPr="00A8448D">
        <w:rPr>
          <w:b/>
          <w:sz w:val="22"/>
        </w:rPr>
        <w:t>Recommended Textbook</w:t>
      </w:r>
    </w:p>
    <w:p w:rsidR="00872835" w:rsidRPr="00A8448D" w:rsidRDefault="00872835" w:rsidP="00872835">
      <w:pPr>
        <w:rPr>
          <w:b/>
          <w:color w:val="C00000"/>
        </w:rPr>
      </w:pPr>
    </w:p>
    <w:p w:rsidR="0088267A" w:rsidRDefault="00412505" w:rsidP="00B53942">
      <w:pPr>
        <w:ind w:left="720" w:hanging="720"/>
      </w:pPr>
      <w:r w:rsidRPr="00412505">
        <w:t>Nair, M.</w:t>
      </w:r>
      <w:r w:rsidR="000659A4">
        <w:t xml:space="preserve"> </w:t>
      </w:r>
      <w:r w:rsidRPr="00412505">
        <w:t>D.</w:t>
      </w:r>
      <w:r w:rsidR="000659A4">
        <w:t xml:space="preserve"> &amp; </w:t>
      </w:r>
      <w:proofErr w:type="spellStart"/>
      <w:r w:rsidR="000659A4">
        <w:t>Guerro</w:t>
      </w:r>
      <w:proofErr w:type="spellEnd"/>
      <w:r w:rsidR="000659A4">
        <w:t xml:space="preserve">, E. G. </w:t>
      </w:r>
      <w:r w:rsidRPr="00412505">
        <w:t xml:space="preserve">(2014). </w:t>
      </w:r>
      <w:r w:rsidRPr="00E11CB9">
        <w:rPr>
          <w:i/>
        </w:rPr>
        <w:t>Evidence based macro practice in macro practice in social work.</w:t>
      </w:r>
      <w:r w:rsidRPr="00412505">
        <w:t xml:space="preserve"> </w:t>
      </w:r>
      <w:r w:rsidR="000659A4">
        <w:t>Wheaton, IL: Gregory.</w:t>
      </w:r>
      <w:r w:rsidRPr="00412505">
        <w:t xml:space="preserve"> doi:10.1080/23303131.2014.977211</w:t>
      </w:r>
    </w:p>
    <w:p w:rsidR="00412505" w:rsidRDefault="00412505" w:rsidP="00412505"/>
    <w:p w:rsidR="00412505" w:rsidRDefault="00412505" w:rsidP="00412505">
      <w:r>
        <w:t>This book is available by putting the doi</w:t>
      </w:r>
      <w:r w:rsidR="00B204FA" w:rsidRPr="00B204FA">
        <w:t>10.1080/23303131.2014.977211</w:t>
      </w:r>
      <w:r>
        <w:t xml:space="preserve"> into the search box at the USC Libraries website</w:t>
      </w:r>
      <w:r w:rsidR="000659A4">
        <w:t>.</w:t>
      </w:r>
      <w:r>
        <w:t xml:space="preserve"> </w:t>
      </w:r>
    </w:p>
    <w:p w:rsidR="00412505" w:rsidRDefault="00412505" w:rsidP="00412505"/>
    <w:p w:rsidR="00872835" w:rsidRDefault="00872835" w:rsidP="00D916A3">
      <w:pPr>
        <w:rPr>
          <w:rFonts w:cs="Arial"/>
          <w:b/>
          <w:bCs/>
          <w:color w:val="C00000"/>
          <w:sz w:val="32"/>
          <w:szCs w:val="32"/>
          <w:u w:val="single"/>
        </w:rPr>
      </w:pPr>
    </w:p>
    <w:p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20" w:history="1">
        <w:r w:rsidR="008435F6" w:rsidRPr="00676A44">
          <w:rPr>
            <w:rStyle w:val="Hyperlink"/>
            <w:rFonts w:cs="Arial"/>
            <w:b/>
            <w:bCs/>
            <w:szCs w:val="24"/>
          </w:rPr>
          <w:t>http://aaswsw.org/grand-challenges-initiative/</w:t>
        </w:r>
      </w:hyperlink>
    </w:p>
    <w:p w:rsidR="008435F6" w:rsidRPr="00D646DE" w:rsidRDefault="008435F6" w:rsidP="00D916A3">
      <w:pPr>
        <w:keepNext/>
        <w:outlineLvl w:val="1"/>
        <w:rPr>
          <w:rFonts w:cs="Arial"/>
          <w:b/>
          <w:bCs/>
          <w:szCs w:val="24"/>
        </w:rPr>
      </w:pPr>
    </w:p>
    <w:p w:rsidR="00D916A3" w:rsidRDefault="00D916A3" w:rsidP="00872835">
      <w:pPr>
        <w:ind w:left="720"/>
        <w:rPr>
          <w:rFonts w:cs="Arial"/>
          <w:b/>
          <w:bCs/>
          <w:color w:val="C00000"/>
          <w:sz w:val="32"/>
          <w:szCs w:val="32"/>
          <w:u w:val="single"/>
        </w:rPr>
      </w:pPr>
    </w:p>
    <w:p w:rsidR="00872835" w:rsidRDefault="00872835" w:rsidP="00872835">
      <w:pPr>
        <w:pStyle w:val="BodyText"/>
      </w:pPr>
      <w:r>
        <w:rPr>
          <w:b/>
          <w:i/>
        </w:rPr>
        <w:t>Note:</w:t>
      </w:r>
      <w:r>
        <w:t xml:space="preserve"> Additional required and recommended readings may be assigned by the instructor throughout the course.</w:t>
      </w:r>
    </w:p>
    <w:p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rsidR="000E46FE" w:rsidRDefault="000E46FE" w:rsidP="000E46FE">
      <w:pPr>
        <w:keepNext/>
        <w:outlineLvl w:val="1"/>
        <w:rPr>
          <w:rFonts w:cs="Arial"/>
          <w:b/>
          <w:bCs/>
          <w:szCs w:val="24"/>
        </w:rPr>
      </w:pPr>
    </w:p>
    <w:p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(6th ed.)</w:t>
      </w:r>
      <w:r w:rsidRPr="009F26C3">
        <w:rPr>
          <w:rFonts w:cs="Arial"/>
        </w:rPr>
        <w:t xml:space="preserve">. Washington, DC: </w:t>
      </w:r>
      <w:r w:rsidR="000659A4">
        <w:rPr>
          <w:rFonts w:cs="Arial"/>
        </w:rPr>
        <w:t>Author</w:t>
      </w:r>
    </w:p>
    <w:p w:rsidR="000E46FE" w:rsidRDefault="000E46FE" w:rsidP="000E46FE">
      <w:pPr>
        <w:ind w:firstLine="720"/>
        <w:rPr>
          <w:rFonts w:cs="Arial"/>
        </w:rPr>
      </w:pPr>
    </w:p>
    <w:p w:rsidR="00872835" w:rsidRPr="000E46FE" w:rsidRDefault="00872835" w:rsidP="00872835">
      <w:pPr>
        <w:pStyle w:val="Heading2"/>
        <w:rPr>
          <w:sz w:val="22"/>
        </w:rPr>
      </w:pPr>
      <w:r w:rsidRPr="000E46FE">
        <w:rPr>
          <w:sz w:val="22"/>
        </w:rPr>
        <w:t xml:space="preserve">On Reserve </w:t>
      </w:r>
    </w:p>
    <w:p w:rsidR="00872835" w:rsidRDefault="00872835" w:rsidP="00872835">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741F98" w:rsidRDefault="00741F98" w:rsidP="005F3422">
      <w:pPr>
        <w:ind w:left="720" w:hanging="720"/>
        <w:jc w:val="center"/>
        <w:rPr>
          <w:rFonts w:cs="Arial"/>
          <w:b/>
          <w:bCs/>
          <w:color w:val="C00000"/>
          <w:sz w:val="32"/>
          <w:szCs w:val="32"/>
        </w:rPr>
      </w:pPr>
    </w:p>
    <w:p w:rsidR="00BB7A8A" w:rsidRDefault="00BB7A8A" w:rsidP="005F3422">
      <w:pPr>
        <w:ind w:left="720" w:hanging="720"/>
        <w:jc w:val="center"/>
        <w:rPr>
          <w:rFonts w:cs="Arial"/>
          <w:b/>
          <w:bCs/>
          <w:color w:val="C00000"/>
          <w:sz w:val="32"/>
          <w:szCs w:val="32"/>
        </w:rPr>
      </w:pPr>
    </w:p>
    <w:p w:rsidR="00BB7A8A" w:rsidRDefault="00BB7A8A" w:rsidP="002240E9">
      <w:pPr>
        <w:rPr>
          <w:rFonts w:cs="Arial"/>
          <w:b/>
          <w:bCs/>
          <w:color w:val="C00000"/>
          <w:sz w:val="32"/>
          <w:szCs w:val="32"/>
        </w:rPr>
      </w:pPr>
    </w:p>
    <w:p w:rsidR="005F3422" w:rsidRDefault="00AF09F0" w:rsidP="002240E9">
      <w:pPr>
        <w:rPr>
          <w:rFonts w:cs="Arial"/>
          <w:b/>
          <w:bCs/>
          <w:color w:val="C00000"/>
          <w:sz w:val="32"/>
          <w:szCs w:val="32"/>
        </w:rPr>
      </w:pPr>
      <w:r>
        <w:rPr>
          <w:rFonts w:cs="Arial"/>
          <w:b/>
          <w:bCs/>
          <w:color w:val="C00000"/>
          <w:sz w:val="32"/>
          <w:szCs w:val="32"/>
        </w:rPr>
        <w:br w:type="page"/>
      </w:r>
      <w:r w:rsidR="005F3422" w:rsidRPr="00FC07B7">
        <w:rPr>
          <w:rFonts w:cs="Arial"/>
          <w:b/>
          <w:bCs/>
          <w:color w:val="C00000"/>
          <w:sz w:val="32"/>
          <w:szCs w:val="32"/>
        </w:rPr>
        <w:lastRenderedPageBreak/>
        <w:t>Course Schedule</w:t>
      </w:r>
      <w:r w:rsidR="00FC07B7" w:rsidRPr="00FC07B7">
        <w:rPr>
          <w:rFonts w:cs="Arial"/>
          <w:b/>
          <w:bCs/>
          <w:color w:val="C00000"/>
          <w:sz w:val="32"/>
          <w:szCs w:val="32"/>
        </w:rPr>
        <w:t>―</w:t>
      </w:r>
      <w:r w:rsidR="005F3422" w:rsidRPr="00FC07B7">
        <w:rPr>
          <w:rFonts w:cs="Arial"/>
          <w:b/>
          <w:bCs/>
          <w:color w:val="C00000"/>
          <w:sz w:val="32"/>
          <w:szCs w:val="32"/>
        </w:rPr>
        <w:t>Detailed Description</w:t>
      </w:r>
    </w:p>
    <w:tbl>
      <w:tblPr>
        <w:tblW w:w="9540" w:type="dxa"/>
        <w:tblInd w:w="18" w:type="dxa"/>
        <w:tblLook w:val="04A0" w:firstRow="1" w:lastRow="0" w:firstColumn="1" w:lastColumn="0" w:noHBand="0" w:noVBand="1"/>
      </w:tblPr>
      <w:tblGrid>
        <w:gridCol w:w="8010"/>
        <w:gridCol w:w="1530"/>
      </w:tblGrid>
      <w:tr w:rsidR="009049C8" w:rsidTr="00624A97">
        <w:trPr>
          <w:cantSplit/>
          <w:tblHeader/>
        </w:trPr>
        <w:tc>
          <w:tcPr>
            <w:tcW w:w="8010" w:type="dxa"/>
            <w:shd w:val="clear" w:color="auto" w:fill="C00000"/>
            <w:hideMark/>
          </w:tcPr>
          <w:p w:rsidR="009049C8" w:rsidRDefault="009049C8" w:rsidP="00624A97">
            <w:pPr>
              <w:keepNext/>
              <w:spacing w:before="20" w:after="240"/>
              <w:ind w:left="1242" w:hanging="1242"/>
              <w:rPr>
                <w:rFonts w:cs="Arial"/>
                <w:b/>
                <w:color w:val="FFFFFF"/>
                <w:sz w:val="22"/>
                <w:szCs w:val="22"/>
              </w:rPr>
            </w:pPr>
            <w:r>
              <w:rPr>
                <w:rFonts w:cs="Arial"/>
                <w:b/>
                <w:snapToGrid w:val="0"/>
                <w:color w:val="FFFFFF"/>
                <w:sz w:val="22"/>
                <w:szCs w:val="22"/>
              </w:rPr>
              <w:t xml:space="preserve">Week </w:t>
            </w:r>
            <w:r>
              <w:rPr>
                <w:rFonts w:cs="Arial"/>
                <w:b/>
                <w:snapToGrid w:val="0"/>
                <w:color w:val="FFFFFF"/>
                <w:sz w:val="22"/>
                <w:szCs w:val="22"/>
              </w:rPr>
              <w:t>1</w:t>
            </w:r>
            <w:r>
              <w:rPr>
                <w:rFonts w:cs="Arial"/>
                <w:b/>
                <w:snapToGrid w:val="0"/>
                <w:color w:val="FFFFFF"/>
                <w:sz w:val="22"/>
                <w:szCs w:val="22"/>
              </w:rPr>
              <w:t>:</w:t>
            </w:r>
            <w:r>
              <w:rPr>
                <w:rFonts w:cs="Arial"/>
                <w:b/>
                <w:snapToGrid w:val="0"/>
                <w:color w:val="FFFFFF"/>
                <w:sz w:val="22"/>
                <w:szCs w:val="22"/>
              </w:rPr>
              <w:tab/>
              <w:t>No Class</w:t>
            </w:r>
          </w:p>
        </w:tc>
        <w:tc>
          <w:tcPr>
            <w:tcW w:w="1530" w:type="dxa"/>
            <w:shd w:val="clear" w:color="auto" w:fill="C00000"/>
            <w:hideMark/>
          </w:tcPr>
          <w:p w:rsidR="009049C8" w:rsidRDefault="009049C8" w:rsidP="00624A97">
            <w:pPr>
              <w:keepNext/>
              <w:spacing w:before="20" w:after="20"/>
              <w:rPr>
                <w:rFonts w:cs="Arial"/>
                <w:b/>
                <w:color w:val="FFFFFF"/>
                <w:sz w:val="22"/>
                <w:szCs w:val="22"/>
              </w:rPr>
            </w:pPr>
          </w:p>
        </w:tc>
      </w:tr>
    </w:tbl>
    <w:p w:rsidR="00613866" w:rsidRDefault="00613866" w:rsidP="00F4234B">
      <w:pPr>
        <w:pStyle w:val="Bib"/>
      </w:pPr>
    </w:p>
    <w:tbl>
      <w:tblPr>
        <w:tblW w:w="9540" w:type="dxa"/>
        <w:tblInd w:w="18" w:type="dxa"/>
        <w:tblLook w:val="04A0" w:firstRow="1" w:lastRow="0" w:firstColumn="1" w:lastColumn="0" w:noHBand="0" w:noVBand="1"/>
      </w:tblPr>
      <w:tblGrid>
        <w:gridCol w:w="8010"/>
        <w:gridCol w:w="1530"/>
      </w:tblGrid>
      <w:tr w:rsidR="00613866" w:rsidTr="00613866">
        <w:trPr>
          <w:cantSplit/>
          <w:tblHeader/>
        </w:trPr>
        <w:tc>
          <w:tcPr>
            <w:tcW w:w="8010" w:type="dxa"/>
            <w:shd w:val="clear" w:color="auto" w:fill="C00000"/>
            <w:hideMark/>
          </w:tcPr>
          <w:p w:rsidR="00B204FA" w:rsidRDefault="00B204FA" w:rsidP="00B204FA">
            <w:pPr>
              <w:keepNext/>
              <w:spacing w:before="20" w:after="240"/>
              <w:ind w:left="1242" w:hanging="1242"/>
              <w:rPr>
                <w:rFonts w:cs="Arial"/>
                <w:b/>
                <w:snapToGrid w:val="0"/>
                <w:color w:val="FFFFFF"/>
                <w:sz w:val="22"/>
                <w:szCs w:val="22"/>
              </w:rPr>
            </w:pPr>
            <w:r>
              <w:rPr>
                <w:rFonts w:cs="Arial"/>
                <w:b/>
                <w:snapToGrid w:val="0"/>
                <w:color w:val="FFFFFF"/>
                <w:sz w:val="22"/>
                <w:szCs w:val="22"/>
              </w:rPr>
              <w:t>Week</w:t>
            </w:r>
            <w:r w:rsidR="00816E2A">
              <w:rPr>
                <w:rFonts w:cs="Arial"/>
                <w:b/>
                <w:snapToGrid w:val="0"/>
                <w:color w:val="FFFFFF"/>
                <w:sz w:val="22"/>
                <w:szCs w:val="22"/>
              </w:rPr>
              <w:t xml:space="preserve"> </w:t>
            </w:r>
            <w:r w:rsidR="009049C8">
              <w:rPr>
                <w:rFonts w:cs="Arial"/>
                <w:b/>
                <w:snapToGrid w:val="0"/>
                <w:color w:val="FFFFFF"/>
                <w:sz w:val="22"/>
                <w:szCs w:val="22"/>
              </w:rPr>
              <w:t>2</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Pr>
                <w:rFonts w:cs="Arial"/>
                <w:b/>
                <w:snapToGrid w:val="0"/>
                <w:color w:val="FFFFFF"/>
                <w:sz w:val="22"/>
                <w:szCs w:val="22"/>
              </w:rPr>
              <w:t>d</w:t>
            </w:r>
            <w:r w:rsidR="00613866">
              <w:rPr>
                <w:rFonts w:cs="Arial"/>
                <w:b/>
                <w:snapToGrid w:val="0"/>
                <w:color w:val="FFFFFF"/>
                <w:sz w:val="22"/>
                <w:szCs w:val="22"/>
              </w:rPr>
              <w:t xml:space="preserve"> Field Experience Overview</w:t>
            </w:r>
            <w:r>
              <w:rPr>
                <w:rFonts w:cs="Arial"/>
                <w:b/>
                <w:snapToGrid w:val="0"/>
                <w:color w:val="FFFFFF"/>
                <w:sz w:val="22"/>
                <w:szCs w:val="22"/>
              </w:rPr>
              <w:t xml:space="preserve"> </w:t>
            </w:r>
          </w:p>
          <w:p w:rsidR="00B204FA" w:rsidRPr="00B204FA" w:rsidRDefault="00B204FA" w:rsidP="00B204FA">
            <w:pPr>
              <w:keepNext/>
              <w:spacing w:before="20" w:after="240"/>
              <w:ind w:left="1242" w:hanging="1242"/>
              <w:rPr>
                <w:rFonts w:cs="Arial"/>
                <w:b/>
                <w:snapToGrid w:val="0"/>
                <w:color w:val="FFFFFF"/>
                <w:sz w:val="22"/>
                <w:szCs w:val="22"/>
              </w:rPr>
            </w:pPr>
            <w:r>
              <w:rPr>
                <w:rFonts w:cs="Arial"/>
                <w:b/>
                <w:snapToGrid w:val="0"/>
                <w:color w:val="FFFFFF"/>
                <w:sz w:val="22"/>
                <w:szCs w:val="22"/>
              </w:rPr>
              <w:t>(Elements of Problem</w:t>
            </w:r>
            <w:r w:rsidR="00521ADF">
              <w:rPr>
                <w:rFonts w:cs="Arial"/>
                <w:b/>
                <w:snapToGrid w:val="0"/>
                <w:color w:val="FFFFFF"/>
                <w:sz w:val="22"/>
                <w:szCs w:val="22"/>
              </w:rPr>
              <w:t>-</w:t>
            </w:r>
            <w:r>
              <w:rPr>
                <w:rFonts w:cs="Arial"/>
                <w:b/>
                <w:snapToGrid w:val="0"/>
                <w:color w:val="FFFFFF"/>
                <w:sz w:val="22"/>
                <w:szCs w:val="22"/>
              </w:rPr>
              <w:t>Based Learning)</w:t>
            </w:r>
          </w:p>
        </w:tc>
        <w:tc>
          <w:tcPr>
            <w:tcW w:w="1530" w:type="dxa"/>
            <w:shd w:val="clear" w:color="auto" w:fill="C00000"/>
            <w:hideMark/>
          </w:tcPr>
          <w:p w:rsidR="00613866" w:rsidRDefault="009049C8" w:rsidP="00B27596">
            <w:pPr>
              <w:keepNext/>
              <w:spacing w:before="20" w:after="20"/>
              <w:rPr>
                <w:rFonts w:cs="Arial"/>
                <w:b/>
                <w:color w:val="FFFFFF"/>
                <w:sz w:val="22"/>
                <w:szCs w:val="22"/>
              </w:rPr>
            </w:pPr>
            <w:r>
              <w:rPr>
                <w:rFonts w:cs="Arial"/>
                <w:b/>
                <w:color w:val="FFFFFF"/>
                <w:sz w:val="22"/>
                <w:szCs w:val="22"/>
              </w:rPr>
              <w:t>May 17</w:t>
            </w:r>
            <w:r w:rsidR="007F73E3">
              <w:rPr>
                <w:rFonts w:cs="Arial"/>
                <w:b/>
                <w:color w:val="FFFFFF"/>
                <w:sz w:val="22"/>
                <w:szCs w:val="22"/>
              </w:rPr>
              <w:t>, 2018</w:t>
            </w:r>
          </w:p>
        </w:tc>
      </w:tr>
      <w:tr w:rsidR="00613866" w:rsidTr="00613866">
        <w:trPr>
          <w:cantSplit/>
        </w:trPr>
        <w:tc>
          <w:tcPr>
            <w:tcW w:w="9540" w:type="dxa"/>
            <w:gridSpan w:val="2"/>
            <w:hideMark/>
          </w:tcPr>
          <w:p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rsidR="00AC50C7" w:rsidRPr="00AC50C7" w:rsidRDefault="00AC50C7">
            <w:pPr>
              <w:keepNext/>
              <w:rPr>
                <w:rFonts w:cs="Arial"/>
                <w:b/>
                <w:bCs/>
                <w:color w:val="262626"/>
                <w:sz w:val="22"/>
                <w:szCs w:val="22"/>
              </w:rPr>
            </w:pPr>
          </w:p>
        </w:tc>
      </w:tr>
      <w:tr w:rsidR="00613866" w:rsidRPr="00AC50C7" w:rsidTr="00613866">
        <w:trPr>
          <w:cantSplit/>
        </w:trPr>
        <w:tc>
          <w:tcPr>
            <w:tcW w:w="9540" w:type="dxa"/>
            <w:gridSpan w:val="2"/>
          </w:tcPr>
          <w:p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rsidR="007E57B0" w:rsidRPr="00AC50C7" w:rsidRDefault="007E57B0" w:rsidP="007E57B0">
            <w:pPr>
              <w:pStyle w:val="Level1"/>
              <w:keepNext w:val="0"/>
              <w:numPr>
                <w:ilvl w:val="0"/>
                <w:numId w:val="0"/>
              </w:numPr>
              <w:spacing w:after="0"/>
              <w:rPr>
                <w:szCs w:val="20"/>
              </w:rPr>
            </w:pPr>
          </w:p>
        </w:tc>
      </w:tr>
    </w:tbl>
    <w:p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575F57" w:rsidRPr="00AC50C7">
        <w:rPr>
          <w:szCs w:val="20"/>
        </w:rPr>
        <w:t>3</w:t>
      </w:r>
      <w:r w:rsidR="00521ADF">
        <w:rPr>
          <w:szCs w:val="20"/>
        </w:rPr>
        <w:t>.</w:t>
      </w:r>
    </w:p>
    <w:p w:rsidR="00C25656" w:rsidRPr="00AC50C7" w:rsidRDefault="00C25656" w:rsidP="00C25656">
      <w:pPr>
        <w:pStyle w:val="BodyText"/>
        <w:spacing w:after="0"/>
        <w:ind w:left="180"/>
      </w:pPr>
    </w:p>
    <w:p w:rsidR="00613866" w:rsidRPr="00AC50C7" w:rsidRDefault="00613866" w:rsidP="008435F6">
      <w:pPr>
        <w:pStyle w:val="Heading3"/>
        <w:ind w:left="180"/>
        <w:rPr>
          <w:sz w:val="20"/>
          <w:szCs w:val="20"/>
        </w:rPr>
      </w:pPr>
      <w:r w:rsidRPr="00AC50C7">
        <w:rPr>
          <w:sz w:val="20"/>
          <w:szCs w:val="20"/>
        </w:rPr>
        <w:t>Required Readings</w:t>
      </w:r>
    </w:p>
    <w:p w:rsidR="00613866" w:rsidRPr="00AC50C7" w:rsidRDefault="00613866" w:rsidP="008435F6">
      <w:pPr>
        <w:autoSpaceDE w:val="0"/>
        <w:autoSpaceDN w:val="0"/>
        <w:adjustRightInd w:val="0"/>
        <w:ind w:left="180"/>
        <w:rPr>
          <w:rFonts w:cs="Arial"/>
        </w:rPr>
      </w:pPr>
    </w:p>
    <w:p w:rsidR="00613866" w:rsidRPr="00AC50C7" w:rsidRDefault="00613866" w:rsidP="008435F6">
      <w:pPr>
        <w:autoSpaceDE w:val="0"/>
        <w:autoSpaceDN w:val="0"/>
        <w:adjustRightInd w:val="0"/>
        <w:ind w:left="180"/>
        <w:rPr>
          <w:rFonts w:cs="Arial"/>
        </w:rPr>
      </w:pPr>
      <w:r w:rsidRPr="00AC50C7">
        <w:rPr>
          <w:rFonts w:cs="Arial"/>
        </w:rPr>
        <w:t>La</w:t>
      </w:r>
      <w:r w:rsidR="001A4DB9">
        <w:rPr>
          <w:rFonts w:cs="Arial"/>
        </w:rPr>
        <w:t>m, D. O. 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1499–1517. doi:10.1093/</w:t>
      </w:r>
      <w:proofErr w:type="spellStart"/>
      <w:r w:rsidRPr="00AC50C7">
        <w:rPr>
          <w:rFonts w:eastAsiaTheme="minorHAnsi" w:cs="Arial"/>
          <w:color w:val="231F20"/>
        </w:rPr>
        <w:t>bjsw</w:t>
      </w:r>
      <w:proofErr w:type="spellEnd"/>
      <w:r w:rsidRPr="00AC50C7">
        <w:rPr>
          <w:rFonts w:eastAsiaTheme="minorHAnsi" w:cs="Arial"/>
          <w:color w:val="231F20"/>
        </w:rPr>
        <w:t>/bcn073</w:t>
      </w:r>
    </w:p>
    <w:p w:rsidR="00613866" w:rsidRPr="00AC50C7" w:rsidRDefault="00613866" w:rsidP="008435F6">
      <w:pPr>
        <w:ind w:left="180"/>
        <w:rPr>
          <w:rFonts w:cs="Arial"/>
        </w:rPr>
      </w:pPr>
    </w:p>
    <w:p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Pr="00AC50C7">
        <w:rPr>
          <w:rFonts w:cs="Arial"/>
        </w:rPr>
        <w:t xml:space="preserve">, </w:t>
      </w:r>
      <w:r w:rsidRPr="00E11CB9">
        <w:rPr>
          <w:rFonts w:cs="Arial"/>
          <w:i/>
          <w:iCs/>
        </w:rPr>
        <w:t>1</w:t>
      </w:r>
      <w:r w:rsidR="003372EE">
        <w:rPr>
          <w:rFonts w:cs="Arial"/>
        </w:rPr>
        <w:t>(1),</w:t>
      </w:r>
      <w:r w:rsidRPr="00AC50C7">
        <w:rPr>
          <w:rFonts w:cs="Arial"/>
        </w:rPr>
        <w:t>3.</w:t>
      </w:r>
    </w:p>
    <w:p w:rsidR="00613866" w:rsidRPr="00AC50C7" w:rsidRDefault="00613866" w:rsidP="008435F6">
      <w:pPr>
        <w:ind w:left="180"/>
      </w:pPr>
    </w:p>
    <w:p w:rsidR="00121549" w:rsidRPr="00AC50C7" w:rsidRDefault="00121549" w:rsidP="00613866"/>
    <w:tbl>
      <w:tblPr>
        <w:tblW w:w="9540" w:type="dxa"/>
        <w:tblInd w:w="18" w:type="dxa"/>
        <w:tblLook w:val="04A0" w:firstRow="1" w:lastRow="0" w:firstColumn="1" w:lastColumn="0" w:noHBand="0" w:noVBand="1"/>
      </w:tblPr>
      <w:tblGrid>
        <w:gridCol w:w="8010"/>
        <w:gridCol w:w="1530"/>
      </w:tblGrid>
      <w:tr w:rsidR="00121549" w:rsidTr="002555F8">
        <w:trPr>
          <w:cantSplit/>
          <w:tblHeader/>
        </w:trPr>
        <w:tc>
          <w:tcPr>
            <w:tcW w:w="8010" w:type="dxa"/>
            <w:shd w:val="clear" w:color="auto" w:fill="C00000"/>
            <w:hideMark/>
          </w:tcPr>
          <w:p w:rsidR="00121549" w:rsidRDefault="00AC50C7" w:rsidP="00091211">
            <w:pPr>
              <w:keepNext/>
              <w:spacing w:before="20" w:after="240"/>
              <w:ind w:left="1242" w:hanging="1242"/>
              <w:rPr>
                <w:rFonts w:cs="Arial"/>
                <w:b/>
                <w:color w:val="FFFFFF"/>
                <w:sz w:val="22"/>
                <w:szCs w:val="22"/>
              </w:rPr>
            </w:pPr>
            <w:r>
              <w:rPr>
                <w:rFonts w:cs="Arial"/>
                <w:b/>
                <w:snapToGrid w:val="0"/>
                <w:color w:val="FFFFFF"/>
                <w:sz w:val="22"/>
                <w:szCs w:val="22"/>
              </w:rPr>
              <w:t xml:space="preserve">Week </w:t>
            </w:r>
            <w:r w:rsidR="009049C8">
              <w:rPr>
                <w:rFonts w:cs="Arial"/>
                <w:b/>
                <w:snapToGrid w:val="0"/>
                <w:color w:val="FFFFFF"/>
                <w:sz w:val="22"/>
                <w:szCs w:val="22"/>
              </w:rPr>
              <w:t>3</w:t>
            </w:r>
            <w:r w:rsidR="00121549">
              <w:rPr>
                <w:rFonts w:cs="Arial"/>
                <w:b/>
                <w:snapToGrid w:val="0"/>
                <w:color w:val="FFFFFF"/>
                <w:sz w:val="22"/>
                <w:szCs w:val="22"/>
              </w:rPr>
              <w:t>:</w:t>
            </w:r>
            <w:r w:rsidR="00121549">
              <w:rPr>
                <w:rFonts w:cs="Arial"/>
                <w:b/>
                <w:snapToGrid w:val="0"/>
                <w:color w:val="FFFFFF"/>
                <w:sz w:val="22"/>
                <w:szCs w:val="22"/>
              </w:rPr>
              <w:tab/>
              <w:t>No Class</w:t>
            </w:r>
          </w:p>
        </w:tc>
        <w:tc>
          <w:tcPr>
            <w:tcW w:w="1530" w:type="dxa"/>
            <w:shd w:val="clear" w:color="auto" w:fill="C00000"/>
            <w:hideMark/>
          </w:tcPr>
          <w:p w:rsidR="00121549" w:rsidRDefault="00121549" w:rsidP="00B27596">
            <w:pPr>
              <w:keepNext/>
              <w:spacing w:before="20" w:after="20"/>
              <w:rPr>
                <w:rFonts w:cs="Arial"/>
                <w:b/>
                <w:color w:val="FFFFFF"/>
                <w:sz w:val="22"/>
                <w:szCs w:val="22"/>
              </w:rPr>
            </w:pPr>
          </w:p>
        </w:tc>
      </w:tr>
    </w:tbl>
    <w:p w:rsidR="00613866" w:rsidRDefault="00613866" w:rsidP="00613866"/>
    <w:p w:rsidR="00575F57" w:rsidRDefault="00575F57" w:rsidP="00613866"/>
    <w:p w:rsidR="00091211" w:rsidRDefault="00091211" w:rsidP="00613866"/>
    <w:tbl>
      <w:tblPr>
        <w:tblW w:w="9522" w:type="dxa"/>
        <w:tblInd w:w="18" w:type="dxa"/>
        <w:tblLook w:val="04A0" w:firstRow="1" w:lastRow="0" w:firstColumn="1" w:lastColumn="0" w:noHBand="0" w:noVBand="1"/>
      </w:tblPr>
      <w:tblGrid>
        <w:gridCol w:w="7831"/>
        <w:gridCol w:w="1691"/>
      </w:tblGrid>
      <w:tr w:rsidR="00613866" w:rsidTr="00091211">
        <w:trPr>
          <w:cantSplit/>
          <w:tblHeader/>
        </w:trPr>
        <w:tc>
          <w:tcPr>
            <w:tcW w:w="7831" w:type="dxa"/>
            <w:shd w:val="clear" w:color="auto" w:fill="C00000"/>
            <w:hideMark/>
          </w:tcPr>
          <w:p w:rsidR="00613866" w:rsidRDefault="00AC50C7" w:rsidP="00B27596">
            <w:pPr>
              <w:keepNext/>
              <w:spacing w:before="20" w:after="240"/>
              <w:rPr>
                <w:rFonts w:cs="Arial"/>
                <w:b/>
                <w:color w:val="FFFFFF"/>
                <w:sz w:val="22"/>
                <w:szCs w:val="22"/>
              </w:rPr>
            </w:pPr>
            <w:r>
              <w:rPr>
                <w:rFonts w:cs="Arial"/>
                <w:b/>
                <w:snapToGrid w:val="0"/>
                <w:color w:val="FFFFFF"/>
                <w:sz w:val="22"/>
                <w:szCs w:val="22"/>
              </w:rPr>
              <w:t xml:space="preserve">Week </w:t>
            </w:r>
            <w:r w:rsidR="009049C8">
              <w:rPr>
                <w:rFonts w:cs="Arial"/>
                <w:b/>
                <w:snapToGrid w:val="0"/>
                <w:color w:val="FFFFFF"/>
                <w:sz w:val="22"/>
                <w:szCs w:val="22"/>
              </w:rPr>
              <w:t>4</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tc>
        <w:tc>
          <w:tcPr>
            <w:tcW w:w="1691" w:type="dxa"/>
            <w:shd w:val="clear" w:color="auto" w:fill="C00000"/>
            <w:hideMark/>
          </w:tcPr>
          <w:p w:rsidR="00613866" w:rsidRDefault="00334D7A" w:rsidP="00B27596">
            <w:pPr>
              <w:keepNext/>
              <w:spacing w:before="20" w:after="20"/>
              <w:rPr>
                <w:rFonts w:cs="Arial"/>
                <w:b/>
                <w:color w:val="FFFFFF"/>
                <w:sz w:val="22"/>
                <w:szCs w:val="22"/>
              </w:rPr>
            </w:pPr>
            <w:r>
              <w:rPr>
                <w:rFonts w:cs="Arial"/>
                <w:b/>
                <w:color w:val="FFFFFF"/>
                <w:sz w:val="22"/>
                <w:szCs w:val="22"/>
              </w:rPr>
              <w:t xml:space="preserve"> </w:t>
            </w:r>
            <w:r w:rsidR="009049C8">
              <w:rPr>
                <w:rFonts w:cs="Arial"/>
                <w:b/>
                <w:color w:val="FFFFFF"/>
                <w:sz w:val="22"/>
                <w:szCs w:val="22"/>
              </w:rPr>
              <w:t>May 3</w:t>
            </w:r>
            <w:r w:rsidR="00D41FA1">
              <w:rPr>
                <w:rFonts w:cs="Arial"/>
                <w:b/>
                <w:color w:val="FFFFFF"/>
                <w:sz w:val="22"/>
                <w:szCs w:val="22"/>
              </w:rPr>
              <w:t>1</w:t>
            </w:r>
            <w:r w:rsidR="007F73E3">
              <w:rPr>
                <w:rFonts w:cs="Arial"/>
                <w:b/>
                <w:color w:val="FFFFFF"/>
                <w:sz w:val="22"/>
                <w:szCs w:val="22"/>
              </w:rPr>
              <w:t>, 2018</w:t>
            </w:r>
          </w:p>
        </w:tc>
      </w:tr>
      <w:tr w:rsidR="00613866" w:rsidRPr="00AC50C7" w:rsidTr="00091211">
        <w:trPr>
          <w:cantSplit/>
        </w:trPr>
        <w:tc>
          <w:tcPr>
            <w:tcW w:w="9522" w:type="dxa"/>
            <w:gridSpan w:val="2"/>
            <w:hideMark/>
          </w:tcPr>
          <w:p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rsidR="00AC50C7" w:rsidRPr="00AC50C7" w:rsidRDefault="00AC50C7">
            <w:pPr>
              <w:keepNext/>
              <w:rPr>
                <w:rFonts w:cs="Arial"/>
                <w:b/>
                <w:bCs/>
                <w:color w:val="262626"/>
              </w:rPr>
            </w:pPr>
          </w:p>
        </w:tc>
      </w:tr>
      <w:tr w:rsidR="00613866" w:rsidRPr="00AC50C7" w:rsidTr="00091211">
        <w:trPr>
          <w:cantSplit/>
        </w:trPr>
        <w:tc>
          <w:tcPr>
            <w:tcW w:w="9522" w:type="dxa"/>
            <w:gridSpan w:val="2"/>
          </w:tcPr>
          <w:p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field placement experience</w:t>
            </w:r>
          </w:p>
          <w:p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0D5CC8" w:rsidRPr="00AC50C7" w:rsidRDefault="00334D7A"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rsidR="00613866" w:rsidRPr="00AC50C7" w:rsidRDefault="00613866" w:rsidP="008435F6">
            <w:pPr>
              <w:pStyle w:val="Level1"/>
              <w:numPr>
                <w:ilvl w:val="0"/>
                <w:numId w:val="0"/>
              </w:numPr>
              <w:tabs>
                <w:tab w:val="left" w:pos="720"/>
              </w:tabs>
              <w:ind w:left="346" w:firstLine="68"/>
              <w:rPr>
                <w:szCs w:val="20"/>
              </w:rPr>
            </w:pPr>
          </w:p>
        </w:tc>
        <w:bookmarkStart w:id="0" w:name="_GoBack"/>
        <w:bookmarkEnd w:id="0"/>
      </w:tr>
    </w:tbl>
    <w:p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521ADF">
        <w:rPr>
          <w:szCs w:val="20"/>
        </w:rPr>
        <w:t>–</w:t>
      </w:r>
      <w:r w:rsidR="00B1559F">
        <w:rPr>
          <w:szCs w:val="20"/>
        </w:rPr>
        <w:t>6</w:t>
      </w:r>
      <w:r w:rsidR="00521ADF">
        <w:rPr>
          <w:szCs w:val="20"/>
        </w:rPr>
        <w:t>.</w:t>
      </w:r>
    </w:p>
    <w:p w:rsidR="008435F6" w:rsidRPr="00AC50C7" w:rsidRDefault="008435F6" w:rsidP="008435F6">
      <w:pPr>
        <w:pStyle w:val="BodyText"/>
        <w:spacing w:after="0"/>
        <w:ind w:left="90"/>
        <w:rPr>
          <w:szCs w:val="20"/>
        </w:rPr>
      </w:pPr>
    </w:p>
    <w:p w:rsidR="00613866" w:rsidRPr="00AC50C7" w:rsidRDefault="00613866" w:rsidP="008435F6">
      <w:pPr>
        <w:pStyle w:val="Heading3"/>
        <w:spacing w:after="0"/>
        <w:ind w:left="90"/>
        <w:rPr>
          <w:sz w:val="20"/>
          <w:szCs w:val="20"/>
        </w:rPr>
      </w:pPr>
      <w:r w:rsidRPr="00AC50C7">
        <w:rPr>
          <w:sz w:val="20"/>
          <w:szCs w:val="20"/>
        </w:rPr>
        <w:t>Required Reading</w:t>
      </w:r>
    </w:p>
    <w:p w:rsidR="00613866" w:rsidRPr="00AC50C7" w:rsidRDefault="00613866" w:rsidP="008435F6">
      <w:pPr>
        <w:autoSpaceDE w:val="0"/>
        <w:autoSpaceDN w:val="0"/>
        <w:adjustRightInd w:val="0"/>
        <w:ind w:left="90"/>
        <w:rPr>
          <w:rFonts w:cs="Arial"/>
        </w:rPr>
      </w:pPr>
    </w:p>
    <w:p w:rsidR="00613866" w:rsidRPr="00AC50C7" w:rsidRDefault="00B204FA" w:rsidP="008435F6">
      <w:pPr>
        <w:ind w:left="90"/>
        <w:rPr>
          <w:rFonts w:cs="Arial"/>
        </w:rPr>
      </w:pPr>
      <w:r>
        <w:rPr>
          <w:rFonts w:cs="Arial"/>
        </w:rPr>
        <w:lastRenderedPageBreak/>
        <w:t xml:space="preserve">Storz,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rsidR="00613866" w:rsidRPr="00AC50C7" w:rsidRDefault="00477ED2" w:rsidP="008435F6">
      <w:pPr>
        <w:ind w:left="90" w:firstLine="720"/>
        <w:rPr>
          <w:rFonts w:cs="Arial"/>
        </w:rPr>
      </w:pPr>
      <w:hyperlink r:id="rId21" w:history="1">
        <w:r w:rsidR="00613866" w:rsidRPr="00AC50C7">
          <w:rPr>
            <w:rStyle w:val="Hyperlink"/>
          </w:rPr>
          <w:t>http://people.engr.ncsu.edu/txie/publications/oral_presentation_skills.pdf</w:t>
        </w:r>
      </w:hyperlink>
      <w:r w:rsidR="00521ADF">
        <w:t>.</w:t>
      </w:r>
    </w:p>
    <w:p w:rsidR="00613866" w:rsidRPr="00AC50C7" w:rsidRDefault="00613866" w:rsidP="00613866">
      <w:pPr>
        <w:rPr>
          <w:rFonts w:cs="Arial"/>
        </w:rPr>
      </w:pPr>
    </w:p>
    <w:tbl>
      <w:tblPr>
        <w:tblW w:w="9540" w:type="dxa"/>
        <w:tblInd w:w="18" w:type="dxa"/>
        <w:tblLook w:val="04A0" w:firstRow="1" w:lastRow="0" w:firstColumn="1" w:lastColumn="0" w:noHBand="0" w:noVBand="1"/>
      </w:tblPr>
      <w:tblGrid>
        <w:gridCol w:w="7812"/>
        <w:gridCol w:w="1728"/>
      </w:tblGrid>
      <w:tr w:rsidR="00121549" w:rsidTr="009049C8">
        <w:trPr>
          <w:cantSplit/>
          <w:tblHeader/>
        </w:trPr>
        <w:tc>
          <w:tcPr>
            <w:tcW w:w="7812" w:type="dxa"/>
            <w:shd w:val="clear" w:color="auto" w:fill="C00000"/>
            <w:hideMark/>
          </w:tcPr>
          <w:p w:rsidR="00121549" w:rsidRDefault="00AC50C7" w:rsidP="006C68CB">
            <w:pPr>
              <w:keepNext/>
              <w:spacing w:before="20" w:after="240"/>
              <w:ind w:left="1242" w:hanging="1242"/>
              <w:rPr>
                <w:rFonts w:cs="Arial"/>
                <w:b/>
                <w:color w:val="FFFFFF"/>
                <w:sz w:val="22"/>
                <w:szCs w:val="22"/>
              </w:rPr>
            </w:pPr>
            <w:r>
              <w:rPr>
                <w:rFonts w:cs="Arial"/>
                <w:b/>
                <w:snapToGrid w:val="0"/>
                <w:color w:val="FFFFFF"/>
                <w:sz w:val="22"/>
                <w:szCs w:val="22"/>
              </w:rPr>
              <w:t xml:space="preserve">Week </w:t>
            </w:r>
            <w:r w:rsidR="009049C8">
              <w:rPr>
                <w:rFonts w:cs="Arial"/>
                <w:b/>
                <w:snapToGrid w:val="0"/>
                <w:color w:val="FFFFFF"/>
                <w:sz w:val="22"/>
                <w:szCs w:val="22"/>
              </w:rPr>
              <w:t>5</w:t>
            </w:r>
            <w:r w:rsidR="00121549">
              <w:rPr>
                <w:rFonts w:cs="Arial"/>
                <w:b/>
                <w:snapToGrid w:val="0"/>
                <w:color w:val="FFFFFF"/>
                <w:sz w:val="22"/>
                <w:szCs w:val="22"/>
              </w:rPr>
              <w:t>:</w:t>
            </w:r>
            <w:r w:rsidR="00121549">
              <w:rPr>
                <w:rFonts w:cs="Arial"/>
                <w:b/>
                <w:snapToGrid w:val="0"/>
                <w:color w:val="FFFFFF"/>
                <w:sz w:val="22"/>
                <w:szCs w:val="22"/>
              </w:rPr>
              <w:tab/>
              <w:t>No Class</w:t>
            </w:r>
          </w:p>
        </w:tc>
        <w:tc>
          <w:tcPr>
            <w:tcW w:w="1728" w:type="dxa"/>
            <w:shd w:val="clear" w:color="auto" w:fill="C00000"/>
            <w:hideMark/>
          </w:tcPr>
          <w:p w:rsidR="00121549" w:rsidRDefault="00121549" w:rsidP="00B27596">
            <w:pPr>
              <w:keepNext/>
              <w:spacing w:before="20" w:after="20"/>
              <w:rPr>
                <w:rFonts w:cs="Arial"/>
                <w:b/>
                <w:color w:val="FFFFFF"/>
                <w:sz w:val="22"/>
                <w:szCs w:val="22"/>
              </w:rPr>
            </w:pPr>
          </w:p>
        </w:tc>
      </w:tr>
    </w:tbl>
    <w:p w:rsidR="00121549" w:rsidRDefault="00121549" w:rsidP="00613866">
      <w:pPr>
        <w:rPr>
          <w:rFonts w:cs="Arial"/>
        </w:rPr>
      </w:pPr>
    </w:p>
    <w:p w:rsidR="006C68CB" w:rsidRDefault="006C68CB" w:rsidP="00613866">
      <w:pPr>
        <w:rPr>
          <w:rFonts w:cs="Arial"/>
        </w:rPr>
      </w:pPr>
    </w:p>
    <w:p w:rsidR="00613866" w:rsidRDefault="00613866" w:rsidP="00613866">
      <w:pPr>
        <w:rPr>
          <w:rFonts w:cs="Arial"/>
        </w:rPr>
      </w:pPr>
    </w:p>
    <w:tbl>
      <w:tblPr>
        <w:tblW w:w="9522" w:type="dxa"/>
        <w:tblInd w:w="18" w:type="dxa"/>
        <w:tblLook w:val="04A0" w:firstRow="1" w:lastRow="0" w:firstColumn="1" w:lastColumn="0" w:noHBand="0" w:noVBand="1"/>
      </w:tblPr>
      <w:tblGrid>
        <w:gridCol w:w="7831"/>
        <w:gridCol w:w="1691"/>
      </w:tblGrid>
      <w:tr w:rsidR="00613866" w:rsidTr="006C68CB">
        <w:trPr>
          <w:cantSplit/>
          <w:tblHeader/>
        </w:trPr>
        <w:tc>
          <w:tcPr>
            <w:tcW w:w="7831" w:type="dxa"/>
            <w:shd w:val="clear" w:color="auto" w:fill="C00000"/>
            <w:hideMark/>
          </w:tcPr>
          <w:p w:rsidR="00613866" w:rsidRDefault="00AC50C7" w:rsidP="00B27596">
            <w:pPr>
              <w:keepNext/>
              <w:spacing w:before="20" w:after="240"/>
              <w:rPr>
                <w:rFonts w:cs="Arial"/>
                <w:b/>
                <w:color w:val="FFFFFF"/>
                <w:sz w:val="22"/>
                <w:szCs w:val="22"/>
              </w:rPr>
            </w:pPr>
            <w:r>
              <w:rPr>
                <w:rFonts w:cs="Arial"/>
                <w:b/>
                <w:snapToGrid w:val="0"/>
                <w:color w:val="FFFFFF"/>
                <w:sz w:val="22"/>
                <w:szCs w:val="22"/>
              </w:rPr>
              <w:t xml:space="preserve"> Week </w:t>
            </w:r>
            <w:r w:rsidR="009049C8">
              <w:rPr>
                <w:rFonts w:cs="Arial"/>
                <w:b/>
                <w:snapToGrid w:val="0"/>
                <w:color w:val="FFFFFF"/>
                <w:sz w:val="22"/>
                <w:szCs w:val="22"/>
              </w:rPr>
              <w:t>6</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691" w:type="dxa"/>
            <w:shd w:val="clear" w:color="auto" w:fill="C00000"/>
            <w:hideMark/>
          </w:tcPr>
          <w:p w:rsidR="00613866" w:rsidRDefault="009049C8" w:rsidP="00B27596">
            <w:pPr>
              <w:keepNext/>
              <w:spacing w:before="20" w:after="20"/>
              <w:rPr>
                <w:rFonts w:cs="Arial"/>
                <w:b/>
                <w:color w:val="FFFFFF"/>
                <w:sz w:val="22"/>
                <w:szCs w:val="22"/>
              </w:rPr>
            </w:pPr>
            <w:r>
              <w:rPr>
                <w:rFonts w:cs="Arial"/>
                <w:b/>
                <w:color w:val="FFFFFF"/>
                <w:sz w:val="22"/>
                <w:szCs w:val="22"/>
              </w:rPr>
              <w:t>June 1</w:t>
            </w:r>
            <w:r w:rsidR="00D41FA1">
              <w:rPr>
                <w:rFonts w:cs="Arial"/>
                <w:b/>
                <w:color w:val="FFFFFF"/>
                <w:sz w:val="22"/>
                <w:szCs w:val="22"/>
              </w:rPr>
              <w:t>4</w:t>
            </w:r>
            <w:r w:rsidR="007F73E3">
              <w:rPr>
                <w:rFonts w:cs="Arial"/>
                <w:b/>
                <w:color w:val="FFFFFF"/>
                <w:sz w:val="22"/>
                <w:szCs w:val="22"/>
              </w:rPr>
              <w:t>, 2018</w:t>
            </w:r>
          </w:p>
        </w:tc>
      </w:tr>
      <w:tr w:rsidR="00613866" w:rsidTr="006C68CB">
        <w:trPr>
          <w:cantSplit/>
        </w:trPr>
        <w:tc>
          <w:tcPr>
            <w:tcW w:w="9522"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3</w:t>
            </w:r>
          </w:p>
          <w:p w:rsidR="00613866" w:rsidRPr="00AC50C7" w:rsidRDefault="00613866">
            <w:pPr>
              <w:keepNext/>
              <w:rPr>
                <w:rFonts w:cs="Arial"/>
                <w:b/>
                <w:bCs/>
                <w:color w:val="262626"/>
                <w:sz w:val="22"/>
                <w:szCs w:val="22"/>
              </w:rPr>
            </w:pPr>
            <w:r>
              <w:rPr>
                <w:rFonts w:cs="Arial"/>
                <w:b/>
                <w:bCs/>
                <w:color w:val="262626"/>
                <w:sz w:val="22"/>
                <w:szCs w:val="22"/>
              </w:rPr>
              <w:t xml:space="preserve"> </w:t>
            </w:r>
          </w:p>
        </w:tc>
      </w:tr>
      <w:tr w:rsidR="00613866" w:rsidRPr="00AC50C7" w:rsidTr="006C68CB">
        <w:trPr>
          <w:cantSplit/>
        </w:trPr>
        <w:tc>
          <w:tcPr>
            <w:tcW w:w="9522" w:type="dxa"/>
            <w:gridSpan w:val="2"/>
          </w:tcPr>
          <w:p w:rsidR="00446810" w:rsidRDefault="00613866" w:rsidP="00446810">
            <w:pPr>
              <w:pStyle w:val="Level1"/>
              <w:ind w:hanging="2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446810">
            <w:pPr>
              <w:pStyle w:val="Level1"/>
              <w:numPr>
                <w:ilvl w:val="0"/>
                <w:numId w:val="0"/>
              </w:numPr>
              <w:ind w:left="346"/>
              <w:rPr>
                <w:szCs w:val="20"/>
              </w:rPr>
            </w:pPr>
            <w:r>
              <w:rPr>
                <w:szCs w:val="20"/>
              </w:rPr>
              <w:t xml:space="preserve"> </w:t>
            </w:r>
            <w:r w:rsidR="00613866" w:rsidRPr="00AC50C7">
              <w:rPr>
                <w:szCs w:val="20"/>
              </w:rPr>
              <w:t>field placement experience</w:t>
            </w:r>
          </w:p>
          <w:p w:rsidR="00446810" w:rsidRDefault="004A0DFB" w:rsidP="00446810">
            <w:pPr>
              <w:pStyle w:val="Level1"/>
              <w:ind w:hanging="22"/>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334D7A" w:rsidP="00446810">
            <w:pPr>
              <w:pStyle w:val="Level1"/>
              <w:numPr>
                <w:ilvl w:val="0"/>
                <w:numId w:val="0"/>
              </w:numPr>
              <w:ind w:left="346"/>
              <w:rPr>
                <w:szCs w:val="20"/>
              </w:rPr>
            </w:pPr>
            <w:r>
              <w:rPr>
                <w:szCs w:val="20"/>
              </w:rPr>
              <w:t xml:space="preserve"> </w:t>
            </w:r>
            <w:r w:rsidR="00613866" w:rsidRPr="00AC50C7">
              <w:rPr>
                <w:szCs w:val="20"/>
              </w:rPr>
              <w:t>consultation and feedback from their peers</w:t>
            </w:r>
          </w:p>
          <w:p w:rsidR="00446810" w:rsidRDefault="00CB59C5" w:rsidP="00446810">
            <w:pPr>
              <w:pStyle w:val="Level1"/>
              <w:tabs>
                <w:tab w:val="clear" w:pos="342"/>
                <w:tab w:val="num" w:pos="360"/>
              </w:tabs>
              <w:ind w:hanging="2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613866" w:rsidRPr="00AC50C7" w:rsidRDefault="00334D7A" w:rsidP="00446810">
            <w:pPr>
              <w:pStyle w:val="Level1"/>
              <w:numPr>
                <w:ilvl w:val="0"/>
                <w:numId w:val="0"/>
              </w:numPr>
              <w:ind w:left="346"/>
              <w:rPr>
                <w:szCs w:val="20"/>
              </w:rPr>
            </w:pPr>
            <w:r>
              <w:rPr>
                <w:szCs w:val="20"/>
              </w:rPr>
              <w:t xml:space="preserve"> </w:t>
            </w:r>
            <w:r w:rsidR="00521ADF">
              <w:rPr>
                <w:szCs w:val="20"/>
              </w:rPr>
              <w:t>s</w:t>
            </w:r>
            <w:r w:rsidR="00CB59C5" w:rsidRPr="00AC50C7">
              <w:rPr>
                <w:szCs w:val="20"/>
              </w:rPr>
              <w:t>peaker</w:t>
            </w:r>
            <w:r w:rsidR="00B1559F">
              <w:rPr>
                <w:szCs w:val="20"/>
              </w:rPr>
              <w:t>(</w:t>
            </w:r>
            <w:r w:rsidR="00CB59C5" w:rsidRPr="00AC50C7">
              <w:rPr>
                <w:szCs w:val="20"/>
              </w:rPr>
              <w:t>s</w:t>
            </w:r>
            <w:r w:rsidR="00B1559F">
              <w:rPr>
                <w:szCs w:val="20"/>
              </w:rPr>
              <w:t>)</w:t>
            </w:r>
          </w:p>
          <w:p w:rsidR="00AC50C7" w:rsidRPr="00AC50C7" w:rsidRDefault="00AC50C7" w:rsidP="00446810">
            <w:pPr>
              <w:pStyle w:val="Level1"/>
              <w:numPr>
                <w:ilvl w:val="0"/>
                <w:numId w:val="0"/>
              </w:numPr>
              <w:ind w:left="346" w:hanging="22"/>
              <w:rPr>
                <w:szCs w:val="20"/>
              </w:rPr>
            </w:pPr>
          </w:p>
        </w:tc>
      </w:tr>
    </w:tbl>
    <w:p w:rsidR="00613866" w:rsidRDefault="00613866" w:rsidP="00446810">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C25656" w:rsidRPr="00AC50C7">
        <w:rPr>
          <w:szCs w:val="20"/>
        </w:rPr>
        <w:t>1</w:t>
      </w:r>
      <w:r w:rsidR="00521ADF">
        <w:rPr>
          <w:szCs w:val="20"/>
        </w:rPr>
        <w:t>–</w:t>
      </w:r>
      <w:r w:rsidR="00B1559F">
        <w:rPr>
          <w:szCs w:val="20"/>
        </w:rPr>
        <w:t>6</w:t>
      </w:r>
      <w:r w:rsidR="00521ADF">
        <w:rPr>
          <w:szCs w:val="20"/>
        </w:rPr>
        <w:t>.</w:t>
      </w:r>
    </w:p>
    <w:p w:rsidR="00E54A5A" w:rsidRDefault="00E54A5A" w:rsidP="00446810">
      <w:pPr>
        <w:pStyle w:val="BodyText"/>
        <w:spacing w:after="0"/>
        <w:ind w:left="180"/>
        <w:rPr>
          <w:szCs w:val="20"/>
        </w:rPr>
      </w:pPr>
    </w:p>
    <w:p w:rsidR="00613866" w:rsidRPr="00AC50C7" w:rsidRDefault="00613866" w:rsidP="00E54A5A">
      <w:pPr>
        <w:pStyle w:val="Heading3"/>
        <w:spacing w:after="0"/>
        <w:ind w:left="180"/>
        <w:rPr>
          <w:sz w:val="20"/>
          <w:szCs w:val="20"/>
        </w:rPr>
      </w:pPr>
      <w:r w:rsidRPr="00AC50C7">
        <w:rPr>
          <w:sz w:val="20"/>
          <w:szCs w:val="20"/>
        </w:rPr>
        <w:t>Required Readings</w:t>
      </w:r>
    </w:p>
    <w:p w:rsidR="00613866" w:rsidRPr="00AC50C7" w:rsidRDefault="00613866" w:rsidP="00446810">
      <w:pPr>
        <w:ind w:left="180"/>
      </w:pPr>
    </w:p>
    <w:p w:rsidR="00613866" w:rsidRPr="00AC50C7" w:rsidRDefault="0058101E" w:rsidP="00446810">
      <w:pPr>
        <w:ind w:left="180"/>
        <w:rPr>
          <w:i/>
          <w:iCs/>
        </w:rPr>
      </w:pPr>
      <w:r>
        <w:t>Counselman, E. (2013</w:t>
      </w:r>
      <w:r w:rsidR="00613866" w:rsidRPr="00AC50C7">
        <w:t>). In consultation, peer supervision groups that work.</w:t>
      </w:r>
      <w:r w:rsidR="00613866" w:rsidRPr="00AC50C7">
        <w:rPr>
          <w:i/>
          <w:iCs/>
        </w:rPr>
        <w:t xml:space="preserve"> Psychotherapy </w:t>
      </w:r>
    </w:p>
    <w:p w:rsidR="00613866" w:rsidRPr="00AC50C7" w:rsidRDefault="00613866" w:rsidP="00E11CB9">
      <w:pPr>
        <w:ind w:left="900"/>
      </w:pPr>
      <w:r w:rsidRPr="00AC50C7">
        <w:rPr>
          <w:i/>
          <w:iCs/>
        </w:rPr>
        <w:t>Networker, 37</w:t>
      </w:r>
      <w:r w:rsidR="00521ADF">
        <w:rPr>
          <w:i/>
          <w:iCs/>
        </w:rPr>
        <w:t>.</w:t>
      </w:r>
      <w:r w:rsidRPr="00AC50C7">
        <w:t xml:space="preserve"> Retrieved from </w:t>
      </w:r>
      <w:hyperlink r:id="rId22" w:history="1">
        <w:r w:rsidRPr="00AC50C7">
          <w:rPr>
            <w:rStyle w:val="Hyperlink"/>
          </w:rPr>
          <w:t>http://search.proquest.com/docview/1374369742?accountid=14749</w:t>
        </w:r>
      </w:hyperlink>
      <w:r w:rsidR="00521ADF">
        <w:t>.</w:t>
      </w:r>
    </w:p>
    <w:p w:rsidR="00613866" w:rsidRPr="00AC50C7" w:rsidRDefault="00613866" w:rsidP="00446810">
      <w:pPr>
        <w:ind w:left="180"/>
      </w:pPr>
    </w:p>
    <w:p w:rsidR="002A41FD" w:rsidRPr="00AC50C7" w:rsidRDefault="00613866" w:rsidP="00446810">
      <w:pPr>
        <w:ind w:left="180"/>
      </w:pPr>
      <w:proofErr w:type="spellStart"/>
      <w:r w:rsidRPr="00AC50C7">
        <w:t>Kuechler</w:t>
      </w:r>
      <w:proofErr w:type="spellEnd"/>
      <w:r w:rsidRPr="00AC50C7">
        <w:t xml:space="preserve">, C., &amp; Barretta-Herman, A. (1998). The consultation circle: A technique for facilitating peer </w:t>
      </w:r>
    </w:p>
    <w:p w:rsidR="00613866" w:rsidRPr="00AC50C7" w:rsidRDefault="00613866" w:rsidP="00446810">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rsidR="00521ADF">
        <w:t>–</w:t>
      </w:r>
      <w:r w:rsidRPr="00AC50C7">
        <w:t>93. doi:10.1300/J001v17n01_06</w:t>
      </w:r>
    </w:p>
    <w:p w:rsidR="00613866" w:rsidRPr="00AC50C7" w:rsidRDefault="00613866" w:rsidP="00446810">
      <w:pPr>
        <w:ind w:left="180"/>
      </w:pPr>
    </w:p>
    <w:p w:rsidR="00E50806" w:rsidRPr="002915B8" w:rsidRDefault="00E50806" w:rsidP="00446810">
      <w:pPr>
        <w:rPr>
          <w:rFonts w:cs="Arial"/>
        </w:rPr>
      </w:pPr>
    </w:p>
    <w:tbl>
      <w:tblPr>
        <w:tblW w:w="9540" w:type="dxa"/>
        <w:tblInd w:w="18" w:type="dxa"/>
        <w:tblLook w:val="04A0" w:firstRow="1" w:lastRow="0" w:firstColumn="1" w:lastColumn="0" w:noHBand="0" w:noVBand="1"/>
      </w:tblPr>
      <w:tblGrid>
        <w:gridCol w:w="8010"/>
        <w:gridCol w:w="1530"/>
      </w:tblGrid>
      <w:tr w:rsidR="00AF0D23" w:rsidTr="006C68CB">
        <w:trPr>
          <w:cantSplit/>
          <w:tblHeader/>
        </w:trPr>
        <w:tc>
          <w:tcPr>
            <w:tcW w:w="8010" w:type="dxa"/>
            <w:shd w:val="clear" w:color="auto" w:fill="C00000"/>
            <w:hideMark/>
          </w:tcPr>
          <w:p w:rsidR="00AF0D23" w:rsidRDefault="00AA6E74" w:rsidP="00AC50C7">
            <w:pPr>
              <w:keepNext/>
              <w:spacing w:before="20" w:after="240"/>
              <w:rPr>
                <w:rFonts w:cs="Arial"/>
                <w:b/>
                <w:color w:val="FFFFFF"/>
                <w:sz w:val="22"/>
                <w:szCs w:val="22"/>
              </w:rPr>
            </w:pPr>
            <w:r>
              <w:rPr>
                <w:rFonts w:cs="Arial"/>
                <w:b/>
                <w:snapToGrid w:val="0"/>
                <w:color w:val="FFFFFF"/>
                <w:sz w:val="22"/>
                <w:szCs w:val="22"/>
              </w:rPr>
              <w:t>W</w:t>
            </w:r>
            <w:r w:rsidR="00AC50C7">
              <w:rPr>
                <w:rFonts w:cs="Arial"/>
                <w:b/>
                <w:snapToGrid w:val="0"/>
                <w:color w:val="FFFFFF"/>
                <w:sz w:val="22"/>
                <w:szCs w:val="22"/>
              </w:rPr>
              <w:t>eek</w:t>
            </w:r>
            <w:r w:rsidR="006C68CB">
              <w:rPr>
                <w:rFonts w:cs="Arial"/>
                <w:b/>
                <w:snapToGrid w:val="0"/>
                <w:color w:val="FFFFFF"/>
                <w:sz w:val="22"/>
                <w:szCs w:val="22"/>
              </w:rPr>
              <w:t xml:space="preserve"> </w:t>
            </w:r>
            <w:r w:rsidR="009049C8">
              <w:rPr>
                <w:rFonts w:cs="Arial"/>
                <w:b/>
                <w:snapToGrid w:val="0"/>
                <w:color w:val="FFFFFF"/>
                <w:sz w:val="22"/>
                <w:szCs w:val="22"/>
              </w:rPr>
              <w:t>7</w:t>
            </w:r>
            <w:r w:rsidR="00AF0D23">
              <w:rPr>
                <w:rFonts w:cs="Arial"/>
                <w:b/>
                <w:snapToGrid w:val="0"/>
                <w:color w:val="FFFFFF"/>
                <w:sz w:val="22"/>
                <w:szCs w:val="22"/>
              </w:rPr>
              <w:t>:</w:t>
            </w:r>
            <w:r w:rsidR="00AF0D23">
              <w:rPr>
                <w:rFonts w:cs="Arial"/>
                <w:b/>
                <w:snapToGrid w:val="0"/>
                <w:color w:val="FFFFFF"/>
                <w:sz w:val="22"/>
                <w:szCs w:val="22"/>
              </w:rPr>
              <w:tab/>
              <w:t>No Class</w:t>
            </w:r>
          </w:p>
        </w:tc>
        <w:tc>
          <w:tcPr>
            <w:tcW w:w="1530" w:type="dxa"/>
            <w:shd w:val="clear" w:color="auto" w:fill="C00000"/>
            <w:hideMark/>
          </w:tcPr>
          <w:p w:rsidR="00AF0D23" w:rsidRDefault="00AF0D23" w:rsidP="00B27596">
            <w:pPr>
              <w:keepNext/>
              <w:spacing w:before="20" w:after="20"/>
              <w:rPr>
                <w:rFonts w:cs="Arial"/>
                <w:b/>
                <w:color w:val="FFFFFF"/>
                <w:sz w:val="22"/>
                <w:szCs w:val="22"/>
              </w:rPr>
            </w:pPr>
          </w:p>
        </w:tc>
      </w:tr>
    </w:tbl>
    <w:p w:rsidR="00AF0D23" w:rsidRDefault="00AF0D23" w:rsidP="00613866">
      <w:pPr>
        <w:rPr>
          <w:rFonts w:cs="Arial"/>
        </w:rPr>
      </w:pPr>
    </w:p>
    <w:p w:rsidR="00AF0D23" w:rsidRDefault="00AF0D23" w:rsidP="00613866">
      <w:pPr>
        <w:rPr>
          <w:rFonts w:cs="Arial"/>
        </w:rPr>
      </w:pPr>
    </w:p>
    <w:p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613866" w:rsidRDefault="00AC50C7" w:rsidP="00AC50C7">
            <w:pPr>
              <w:keepNext/>
              <w:spacing w:before="20" w:after="240"/>
              <w:rPr>
                <w:rFonts w:cs="Arial"/>
                <w:b/>
                <w:color w:val="FFFFFF"/>
                <w:sz w:val="22"/>
                <w:szCs w:val="22"/>
              </w:rPr>
            </w:pPr>
            <w:r>
              <w:rPr>
                <w:rFonts w:cs="Arial"/>
                <w:b/>
                <w:snapToGrid w:val="0"/>
                <w:color w:val="FFFFFF"/>
                <w:sz w:val="22"/>
                <w:szCs w:val="22"/>
              </w:rPr>
              <w:t xml:space="preserve">Week </w:t>
            </w:r>
            <w:r w:rsidR="009049C8">
              <w:rPr>
                <w:rFonts w:cs="Arial"/>
                <w:b/>
                <w:snapToGrid w:val="0"/>
                <w:color w:val="FFFFFF"/>
                <w:sz w:val="22"/>
                <w:szCs w:val="22"/>
              </w:rPr>
              <w:t>8</w:t>
            </w:r>
            <w:r w:rsidR="00613866">
              <w:rPr>
                <w:rFonts w:cs="Arial"/>
                <w:b/>
                <w:snapToGrid w:val="0"/>
                <w:color w:val="FFFFFF"/>
                <w:sz w:val="22"/>
                <w:szCs w:val="22"/>
              </w:rPr>
              <w:t>:</w:t>
            </w:r>
            <w:r w:rsidR="00613866">
              <w:rPr>
                <w:rFonts w:cs="Arial"/>
                <w:b/>
                <w:snapToGrid w:val="0"/>
                <w:color w:val="FFFFFF"/>
                <w:sz w:val="22"/>
                <w:szCs w:val="22"/>
              </w:rPr>
              <w:tab/>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687" w:type="dxa"/>
            <w:shd w:val="clear" w:color="auto" w:fill="C00000"/>
            <w:hideMark/>
          </w:tcPr>
          <w:p w:rsidR="00613866" w:rsidRPr="002240E9" w:rsidRDefault="00334D7A" w:rsidP="00B27596">
            <w:pPr>
              <w:keepNext/>
              <w:spacing w:before="20" w:after="20"/>
              <w:rPr>
                <w:rFonts w:cs="Arial"/>
                <w:b/>
                <w:color w:val="FFFFFF"/>
              </w:rPr>
            </w:pPr>
            <w:r w:rsidRPr="002240E9">
              <w:rPr>
                <w:rFonts w:cs="Arial"/>
                <w:b/>
                <w:color w:val="FFFFFF"/>
              </w:rPr>
              <w:t xml:space="preserve"> </w:t>
            </w:r>
            <w:r w:rsidR="009049C8">
              <w:rPr>
                <w:rFonts w:cs="Arial"/>
                <w:b/>
                <w:color w:val="FFFFFF"/>
              </w:rPr>
              <w:t>June 2</w:t>
            </w:r>
            <w:r w:rsidR="00D41FA1">
              <w:rPr>
                <w:rFonts w:cs="Arial"/>
                <w:b/>
                <w:color w:val="FFFFFF"/>
              </w:rPr>
              <w:t>8</w:t>
            </w:r>
            <w:r w:rsidR="009049C8">
              <w:rPr>
                <w:rFonts w:cs="Arial"/>
                <w:b/>
                <w:color w:val="FFFFFF"/>
              </w:rPr>
              <w:t>, 2018</w:t>
            </w:r>
          </w:p>
        </w:tc>
      </w:tr>
      <w:tr w:rsidR="00613866" w:rsidTr="006C68CB">
        <w:trPr>
          <w:cantSplit/>
        </w:trPr>
        <w:tc>
          <w:tcPr>
            <w:tcW w:w="9522"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4</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tcPr>
          <w:p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613866" w:rsidRPr="00AC50C7" w:rsidRDefault="00613866" w:rsidP="00824969">
            <w:pPr>
              <w:pStyle w:val="Level1"/>
              <w:numPr>
                <w:ilvl w:val="0"/>
                <w:numId w:val="0"/>
              </w:numPr>
              <w:tabs>
                <w:tab w:val="num" w:pos="684"/>
                <w:tab w:val="left" w:pos="720"/>
              </w:tabs>
              <w:ind w:left="346"/>
              <w:rPr>
                <w:szCs w:val="20"/>
              </w:rPr>
            </w:pPr>
          </w:p>
        </w:tc>
      </w:tr>
    </w:tbl>
    <w:p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25656" w:rsidRPr="00AC50C7">
        <w:rPr>
          <w:szCs w:val="20"/>
        </w:rPr>
        <w:t>1</w:t>
      </w:r>
      <w:r w:rsidR="00521ADF">
        <w:rPr>
          <w:szCs w:val="20"/>
        </w:rPr>
        <w:t>–</w:t>
      </w:r>
      <w:r w:rsidR="00B1559F">
        <w:rPr>
          <w:szCs w:val="20"/>
        </w:rPr>
        <w:t>6</w:t>
      </w:r>
      <w:r w:rsidR="00521ADF">
        <w:rPr>
          <w:szCs w:val="20"/>
        </w:rPr>
        <w:t>.</w:t>
      </w:r>
    </w:p>
    <w:p w:rsidR="00824969" w:rsidRPr="00AC50C7" w:rsidRDefault="00824969" w:rsidP="00824969">
      <w:pPr>
        <w:pStyle w:val="BodyText"/>
        <w:ind w:left="90"/>
        <w:rPr>
          <w:szCs w:val="20"/>
        </w:rPr>
      </w:pPr>
    </w:p>
    <w:p w:rsidR="00613866" w:rsidRPr="00AC50C7" w:rsidRDefault="00613866" w:rsidP="00824969">
      <w:pPr>
        <w:pStyle w:val="Heading3"/>
        <w:spacing w:after="0"/>
        <w:ind w:left="90"/>
        <w:rPr>
          <w:sz w:val="20"/>
          <w:szCs w:val="20"/>
        </w:rPr>
      </w:pPr>
      <w:r w:rsidRPr="00AC50C7">
        <w:rPr>
          <w:sz w:val="20"/>
          <w:szCs w:val="20"/>
        </w:rPr>
        <w:t>Required Reading</w:t>
      </w:r>
    </w:p>
    <w:p w:rsidR="00521ADF" w:rsidRDefault="00521ADF" w:rsidP="00D64232">
      <w:pPr>
        <w:ind w:left="720" w:hanging="630"/>
      </w:pPr>
    </w:p>
    <w:p w:rsidR="00613866" w:rsidRPr="00AC50C7" w:rsidRDefault="003372EE" w:rsidP="00D64232">
      <w:pPr>
        <w:ind w:left="720" w:hanging="630"/>
      </w:pPr>
      <w:r>
        <w:t xml:space="preserve">Brawn, M., </w:t>
      </w:r>
      <w:r w:rsidR="002B5354" w:rsidRPr="002B5354">
        <w:t>De La Rue,</w:t>
      </w:r>
      <w:r w:rsidR="002B5354">
        <w:t xml:space="preserve"> L.,</w:t>
      </w:r>
      <w:r>
        <w:t xml:space="preserve"> Brooks, J.,</w:t>
      </w:r>
      <w:r w:rsidR="00334D7A">
        <w:t xml:space="preserve"> </w:t>
      </w:r>
      <w:r w:rsidR="00613866" w:rsidRPr="00AC50C7">
        <w:t xml:space="preserve">Flores, M. P., </w:t>
      </w:r>
      <w:proofErr w:type="spellStart"/>
      <w:r>
        <w:t>Garite</w:t>
      </w:r>
      <w:proofErr w:type="spellEnd"/>
      <w:r>
        <w:t>, R., Ginsburg, R.,</w:t>
      </w:r>
      <w:r w:rsidR="00334D7A">
        <w:t xml:space="preserve"> </w:t>
      </w:r>
      <w:r w:rsidR="00521ADF">
        <w:t>. . .</w:t>
      </w:r>
      <w:r>
        <w:t xml:space="preserve"> </w:t>
      </w:r>
      <w:proofErr w:type="spellStart"/>
      <w:r>
        <w:t>Valgoi</w:t>
      </w:r>
      <w:proofErr w:type="spellEnd"/>
      <w:r>
        <w:t>, M.</w:t>
      </w:r>
      <w:r w:rsidR="00334D7A">
        <w:t xml:space="preserve"> </w:t>
      </w:r>
      <w:r w:rsidR="005C3E17">
        <w:t>(</w:t>
      </w:r>
      <w:r w:rsidR="00D64232">
        <w:t>2014)</w:t>
      </w:r>
      <w:r w:rsidR="00613866" w:rsidRPr="00AC50C7">
        <w:t xml:space="preserve">. Developing social justice competencies: A consultation training approach. </w:t>
      </w:r>
      <w:r w:rsidR="00613866" w:rsidRPr="0058101E">
        <w:rPr>
          <w:i/>
        </w:rPr>
        <w:t>The Counseling Psychologist</w:t>
      </w:r>
      <w:r w:rsidR="00613866" w:rsidRPr="00AC50C7">
        <w:t xml:space="preserve">, </w:t>
      </w:r>
      <w:r w:rsidR="00613866" w:rsidRPr="00E11CB9">
        <w:rPr>
          <w:i/>
        </w:rPr>
        <w:t>42</w:t>
      </w:r>
      <w:r w:rsidR="00613866" w:rsidRPr="00AC50C7">
        <w:t>(7), 998</w:t>
      </w:r>
      <w:r w:rsidR="00521ADF">
        <w:t>–</w:t>
      </w:r>
      <w:r w:rsidR="00613866" w:rsidRPr="00AC50C7">
        <w:t>1020.</w:t>
      </w:r>
    </w:p>
    <w:p w:rsidR="00613866" w:rsidRDefault="00613866" w:rsidP="00824969">
      <w:pPr>
        <w:ind w:left="90"/>
      </w:pPr>
    </w:p>
    <w:p w:rsidR="00613866" w:rsidRPr="00AC50C7" w:rsidRDefault="00613866" w:rsidP="00613866">
      <w:pPr>
        <w:rPr>
          <w:rFonts w:cs="Arial"/>
        </w:rPr>
      </w:pPr>
    </w:p>
    <w:tbl>
      <w:tblPr>
        <w:tblW w:w="9540" w:type="dxa"/>
        <w:tblInd w:w="18" w:type="dxa"/>
        <w:tblLook w:val="04A0" w:firstRow="1" w:lastRow="0" w:firstColumn="1" w:lastColumn="0" w:noHBand="0" w:noVBand="1"/>
      </w:tblPr>
      <w:tblGrid>
        <w:gridCol w:w="8010"/>
        <w:gridCol w:w="1530"/>
      </w:tblGrid>
      <w:tr w:rsidR="00AF0D23" w:rsidTr="002555F8">
        <w:trPr>
          <w:cantSplit/>
          <w:tblHeader/>
        </w:trPr>
        <w:tc>
          <w:tcPr>
            <w:tcW w:w="8010" w:type="dxa"/>
            <w:shd w:val="clear" w:color="auto" w:fill="C00000"/>
            <w:hideMark/>
          </w:tcPr>
          <w:p w:rsidR="00AF0D23" w:rsidRDefault="00AC50C7" w:rsidP="006C68CB">
            <w:pPr>
              <w:keepNext/>
              <w:spacing w:before="20" w:after="240"/>
              <w:ind w:left="1242" w:hanging="1242"/>
              <w:rPr>
                <w:rFonts w:cs="Arial"/>
                <w:b/>
                <w:color w:val="FFFFFF"/>
                <w:sz w:val="22"/>
                <w:szCs w:val="22"/>
              </w:rPr>
            </w:pPr>
            <w:r>
              <w:rPr>
                <w:rFonts w:cs="Arial"/>
                <w:b/>
                <w:snapToGrid w:val="0"/>
                <w:color w:val="FFFFFF"/>
                <w:sz w:val="22"/>
                <w:szCs w:val="22"/>
              </w:rPr>
              <w:t xml:space="preserve">Week </w:t>
            </w:r>
            <w:r w:rsidR="009049C8">
              <w:rPr>
                <w:rFonts w:cs="Arial"/>
                <w:b/>
                <w:snapToGrid w:val="0"/>
                <w:color w:val="FFFFFF"/>
                <w:sz w:val="22"/>
                <w:szCs w:val="22"/>
              </w:rPr>
              <w:t>9</w:t>
            </w:r>
            <w:r w:rsidR="00AF0D23">
              <w:rPr>
                <w:rFonts w:cs="Arial"/>
                <w:b/>
                <w:snapToGrid w:val="0"/>
                <w:color w:val="FFFFFF"/>
                <w:sz w:val="22"/>
                <w:szCs w:val="22"/>
              </w:rPr>
              <w:t>:</w:t>
            </w:r>
            <w:r w:rsidR="00AF0D23">
              <w:rPr>
                <w:rFonts w:cs="Arial"/>
                <w:b/>
                <w:snapToGrid w:val="0"/>
                <w:color w:val="FFFFFF"/>
                <w:sz w:val="22"/>
                <w:szCs w:val="22"/>
              </w:rPr>
              <w:tab/>
              <w:t>No Class</w:t>
            </w:r>
          </w:p>
        </w:tc>
        <w:tc>
          <w:tcPr>
            <w:tcW w:w="1530" w:type="dxa"/>
            <w:shd w:val="clear" w:color="auto" w:fill="C00000"/>
            <w:hideMark/>
          </w:tcPr>
          <w:p w:rsidR="00AF0D23" w:rsidRDefault="00AF0D23" w:rsidP="00B27596">
            <w:pPr>
              <w:keepNext/>
              <w:spacing w:before="20" w:after="20"/>
              <w:rPr>
                <w:rFonts w:cs="Arial"/>
                <w:b/>
                <w:color w:val="FFFFFF"/>
                <w:sz w:val="22"/>
                <w:szCs w:val="22"/>
              </w:rPr>
            </w:pPr>
          </w:p>
        </w:tc>
      </w:tr>
    </w:tbl>
    <w:p w:rsidR="00AF0D23" w:rsidRDefault="00AF0D23" w:rsidP="00613866">
      <w:pPr>
        <w:rPr>
          <w:rFonts w:cs="Arial"/>
        </w:rPr>
      </w:pPr>
    </w:p>
    <w:p w:rsidR="00613866" w:rsidRDefault="00613866" w:rsidP="00613866">
      <w:pPr>
        <w:rPr>
          <w:rFonts w:cs="Arial"/>
        </w:rPr>
      </w:pPr>
    </w:p>
    <w:p w:rsidR="006C68CB" w:rsidRDefault="006C68CB" w:rsidP="00613866">
      <w:pPr>
        <w:rPr>
          <w:rFonts w:cs="Arial"/>
        </w:rPr>
      </w:pPr>
    </w:p>
    <w:tbl>
      <w:tblPr>
        <w:tblW w:w="9630" w:type="dxa"/>
        <w:tblInd w:w="18" w:type="dxa"/>
        <w:tblLook w:val="04A0" w:firstRow="1" w:lastRow="0" w:firstColumn="1" w:lastColumn="0" w:noHBand="0" w:noVBand="1"/>
      </w:tblPr>
      <w:tblGrid>
        <w:gridCol w:w="7831"/>
        <w:gridCol w:w="1799"/>
      </w:tblGrid>
      <w:tr w:rsidR="00613866" w:rsidTr="002B5354">
        <w:trPr>
          <w:cantSplit/>
          <w:tblHeader/>
        </w:trPr>
        <w:tc>
          <w:tcPr>
            <w:tcW w:w="7831" w:type="dxa"/>
            <w:shd w:val="clear" w:color="auto" w:fill="C00000"/>
            <w:hideMark/>
          </w:tcPr>
          <w:p w:rsidR="00613866" w:rsidRDefault="00AC50C7" w:rsidP="006C68CB">
            <w:pPr>
              <w:keepNext/>
              <w:spacing w:before="20" w:after="240"/>
              <w:rPr>
                <w:rFonts w:cs="Arial"/>
                <w:b/>
                <w:color w:val="FFFFFF"/>
                <w:sz w:val="22"/>
                <w:szCs w:val="22"/>
              </w:rPr>
            </w:pPr>
            <w:r>
              <w:rPr>
                <w:rFonts w:cs="Arial"/>
                <w:b/>
                <w:snapToGrid w:val="0"/>
                <w:color w:val="FFFFFF"/>
                <w:sz w:val="22"/>
                <w:szCs w:val="22"/>
              </w:rPr>
              <w:t xml:space="preserve"> Week</w:t>
            </w:r>
            <w:r w:rsidR="006C68CB">
              <w:rPr>
                <w:rFonts w:cs="Arial"/>
                <w:b/>
                <w:snapToGrid w:val="0"/>
                <w:color w:val="FFFFFF"/>
                <w:sz w:val="22"/>
                <w:szCs w:val="22"/>
              </w:rPr>
              <w:t xml:space="preserve"> </w:t>
            </w:r>
            <w:r w:rsidR="009049C8">
              <w:rPr>
                <w:rFonts w:cs="Arial"/>
                <w:b/>
                <w:snapToGrid w:val="0"/>
                <w:color w:val="FFFFFF"/>
                <w:sz w:val="22"/>
                <w:szCs w:val="22"/>
              </w:rPr>
              <w:t>10</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Assignment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799" w:type="dxa"/>
            <w:shd w:val="clear" w:color="auto" w:fill="C00000"/>
            <w:hideMark/>
          </w:tcPr>
          <w:p w:rsidR="00613866" w:rsidRDefault="00334D7A" w:rsidP="00B27596">
            <w:pPr>
              <w:keepNext/>
              <w:spacing w:before="20" w:after="20"/>
              <w:rPr>
                <w:rFonts w:cs="Arial"/>
                <w:b/>
                <w:color w:val="FFFFFF"/>
                <w:sz w:val="22"/>
                <w:szCs w:val="22"/>
              </w:rPr>
            </w:pPr>
            <w:r>
              <w:rPr>
                <w:rFonts w:cs="Arial"/>
                <w:b/>
                <w:color w:val="FFFFFF"/>
                <w:sz w:val="22"/>
                <w:szCs w:val="22"/>
              </w:rPr>
              <w:t xml:space="preserve"> </w:t>
            </w:r>
            <w:r w:rsidR="009049C8">
              <w:rPr>
                <w:rFonts w:cs="Arial"/>
                <w:b/>
                <w:color w:val="FFFFFF"/>
                <w:sz w:val="22"/>
                <w:szCs w:val="22"/>
              </w:rPr>
              <w:t>July 1</w:t>
            </w:r>
            <w:r w:rsidR="00D41FA1">
              <w:rPr>
                <w:rFonts w:cs="Arial"/>
                <w:b/>
                <w:color w:val="FFFFFF"/>
                <w:sz w:val="22"/>
                <w:szCs w:val="22"/>
              </w:rPr>
              <w:t>2</w:t>
            </w:r>
            <w:r w:rsidR="009049C8">
              <w:rPr>
                <w:rFonts w:cs="Arial"/>
                <w:b/>
                <w:color w:val="FFFFFF"/>
                <w:sz w:val="22"/>
                <w:szCs w:val="22"/>
              </w:rPr>
              <w:t>, 2018</w:t>
            </w:r>
          </w:p>
        </w:tc>
      </w:tr>
      <w:tr w:rsidR="00613866" w:rsidTr="002B5354">
        <w:trPr>
          <w:cantSplit/>
        </w:trPr>
        <w:tc>
          <w:tcPr>
            <w:tcW w:w="9630"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5</w:t>
            </w:r>
          </w:p>
          <w:p w:rsidR="00AC50C7" w:rsidRPr="00AC50C7" w:rsidRDefault="00AC50C7">
            <w:pPr>
              <w:keepNext/>
              <w:rPr>
                <w:rFonts w:cs="Arial"/>
                <w:b/>
                <w:bCs/>
                <w:color w:val="262626"/>
                <w:sz w:val="22"/>
                <w:szCs w:val="22"/>
              </w:rPr>
            </w:pPr>
          </w:p>
        </w:tc>
      </w:tr>
      <w:tr w:rsidR="00613866" w:rsidRPr="00AC50C7" w:rsidTr="002B5354">
        <w:trPr>
          <w:cantSplit/>
        </w:trPr>
        <w:tc>
          <w:tcPr>
            <w:tcW w:w="9630" w:type="dxa"/>
            <w:gridSpan w:val="2"/>
          </w:tcPr>
          <w:p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AC50C7" w:rsidRPr="00AC50C7" w:rsidRDefault="00AC50C7" w:rsidP="00CB59C5">
            <w:pPr>
              <w:pStyle w:val="Level1"/>
              <w:numPr>
                <w:ilvl w:val="0"/>
                <w:numId w:val="0"/>
              </w:numPr>
              <w:ind w:left="346"/>
              <w:rPr>
                <w:szCs w:val="20"/>
              </w:rPr>
            </w:pPr>
          </w:p>
        </w:tc>
      </w:tr>
    </w:tbl>
    <w:p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C25656" w:rsidRPr="00AC50C7">
        <w:rPr>
          <w:szCs w:val="20"/>
        </w:rPr>
        <w:t>1</w:t>
      </w:r>
      <w:r w:rsidR="00521ADF">
        <w:rPr>
          <w:szCs w:val="20"/>
        </w:rPr>
        <w:t>–</w:t>
      </w:r>
      <w:r w:rsidR="00B1559F">
        <w:rPr>
          <w:szCs w:val="20"/>
        </w:rPr>
        <w:t>6</w:t>
      </w:r>
      <w:r w:rsidR="00521ADF">
        <w:rPr>
          <w:szCs w:val="20"/>
        </w:rPr>
        <w:t>.</w:t>
      </w:r>
    </w:p>
    <w:p w:rsidR="00824969" w:rsidRPr="00AC50C7" w:rsidRDefault="00824969" w:rsidP="00824969">
      <w:pPr>
        <w:pStyle w:val="BodyText"/>
        <w:ind w:left="180"/>
        <w:rPr>
          <w:szCs w:val="20"/>
        </w:rPr>
      </w:pPr>
    </w:p>
    <w:p w:rsidR="00613866" w:rsidRPr="00AC50C7" w:rsidRDefault="00613866" w:rsidP="00824969">
      <w:pPr>
        <w:pStyle w:val="Heading3"/>
        <w:spacing w:after="0"/>
        <w:ind w:left="180"/>
        <w:rPr>
          <w:sz w:val="20"/>
          <w:szCs w:val="20"/>
        </w:rPr>
      </w:pPr>
      <w:r w:rsidRPr="00AC50C7">
        <w:rPr>
          <w:sz w:val="20"/>
          <w:szCs w:val="20"/>
        </w:rPr>
        <w:t>Required Readings</w:t>
      </w:r>
    </w:p>
    <w:p w:rsidR="00613866" w:rsidRPr="00AC50C7" w:rsidRDefault="00613866" w:rsidP="00824969">
      <w:pPr>
        <w:ind w:left="180"/>
      </w:pPr>
    </w:p>
    <w:p w:rsidR="00613866" w:rsidRPr="00AC50C7" w:rsidRDefault="00613866" w:rsidP="00824969">
      <w:pPr>
        <w:ind w:left="180"/>
      </w:pPr>
      <w:r w:rsidRPr="00AC50C7">
        <w:t xml:space="preserve">Bronstein, L. R. (2003). A model for interdisciplinary collaboration. </w:t>
      </w:r>
      <w:r w:rsidRPr="0058101E">
        <w:rPr>
          <w:i/>
        </w:rPr>
        <w:t>Social Work</w:t>
      </w:r>
      <w:r w:rsidRPr="00AC50C7">
        <w:t xml:space="preserve">, </w:t>
      </w:r>
      <w:r w:rsidRPr="00E11CB9">
        <w:rPr>
          <w:i/>
        </w:rPr>
        <w:t>48</w:t>
      </w:r>
      <w:r w:rsidRPr="00AC50C7">
        <w:t>(3), 297</w:t>
      </w:r>
      <w:r w:rsidR="00521ADF">
        <w:t>–</w:t>
      </w:r>
      <w:r w:rsidRPr="00AC50C7">
        <w:t xml:space="preserve">306. </w:t>
      </w:r>
    </w:p>
    <w:p w:rsidR="00613866" w:rsidRPr="00AC50C7" w:rsidRDefault="00613866" w:rsidP="00824969">
      <w:pPr>
        <w:ind w:left="180" w:firstLine="720"/>
      </w:pPr>
      <w:r w:rsidRPr="00AC50C7">
        <w:t>doi:10.1093/</w:t>
      </w:r>
      <w:proofErr w:type="spellStart"/>
      <w:r w:rsidRPr="00AC50C7">
        <w:t>sw</w:t>
      </w:r>
      <w:proofErr w:type="spellEnd"/>
      <w:r w:rsidRPr="00AC50C7">
        <w:t>/48.3.297</w:t>
      </w:r>
    </w:p>
    <w:p w:rsidR="00613866" w:rsidRPr="00AC50C7" w:rsidRDefault="00613866" w:rsidP="00824969">
      <w:pPr>
        <w:ind w:left="180"/>
      </w:pPr>
    </w:p>
    <w:p w:rsidR="00613866" w:rsidRPr="00AC50C7" w:rsidRDefault="00613866" w:rsidP="00613866"/>
    <w:tbl>
      <w:tblPr>
        <w:tblW w:w="9540" w:type="dxa"/>
        <w:tblInd w:w="18" w:type="dxa"/>
        <w:tblLook w:val="04A0" w:firstRow="1" w:lastRow="0" w:firstColumn="1" w:lastColumn="0" w:noHBand="0" w:noVBand="1"/>
      </w:tblPr>
      <w:tblGrid>
        <w:gridCol w:w="8010"/>
        <w:gridCol w:w="1530"/>
      </w:tblGrid>
      <w:tr w:rsidR="00AF0D23" w:rsidTr="002555F8">
        <w:trPr>
          <w:cantSplit/>
          <w:tblHeader/>
        </w:trPr>
        <w:tc>
          <w:tcPr>
            <w:tcW w:w="8010" w:type="dxa"/>
            <w:shd w:val="clear" w:color="auto" w:fill="C00000"/>
            <w:hideMark/>
          </w:tcPr>
          <w:p w:rsidR="00AF0D23" w:rsidRDefault="00AC50C7" w:rsidP="006C68CB">
            <w:pPr>
              <w:keepNext/>
              <w:spacing w:before="20" w:after="240"/>
              <w:ind w:left="1242" w:hanging="1242"/>
              <w:rPr>
                <w:rFonts w:cs="Arial"/>
                <w:b/>
                <w:color w:val="FFFFFF"/>
                <w:sz w:val="22"/>
                <w:szCs w:val="22"/>
              </w:rPr>
            </w:pPr>
            <w:r>
              <w:rPr>
                <w:rFonts w:cs="Arial"/>
                <w:b/>
                <w:snapToGrid w:val="0"/>
                <w:color w:val="FFFFFF"/>
                <w:sz w:val="22"/>
                <w:szCs w:val="22"/>
              </w:rPr>
              <w:t xml:space="preserve">Week </w:t>
            </w:r>
            <w:r w:rsidR="00B27596">
              <w:rPr>
                <w:rFonts w:cs="Arial"/>
                <w:b/>
                <w:snapToGrid w:val="0"/>
                <w:color w:val="FFFFFF"/>
                <w:sz w:val="22"/>
                <w:szCs w:val="22"/>
              </w:rPr>
              <w:t>1</w:t>
            </w:r>
            <w:r w:rsidR="009049C8">
              <w:rPr>
                <w:rFonts w:cs="Arial"/>
                <w:b/>
                <w:snapToGrid w:val="0"/>
                <w:color w:val="FFFFFF"/>
                <w:sz w:val="22"/>
                <w:szCs w:val="22"/>
              </w:rPr>
              <w:t>1</w:t>
            </w:r>
            <w:r w:rsidR="00AF0D23">
              <w:rPr>
                <w:rFonts w:cs="Arial"/>
                <w:b/>
                <w:snapToGrid w:val="0"/>
                <w:color w:val="FFFFFF"/>
                <w:sz w:val="22"/>
                <w:szCs w:val="22"/>
              </w:rPr>
              <w:t>:</w:t>
            </w:r>
            <w:r w:rsidR="00AF0D23">
              <w:rPr>
                <w:rFonts w:cs="Arial"/>
                <w:b/>
                <w:snapToGrid w:val="0"/>
                <w:color w:val="FFFFFF"/>
                <w:sz w:val="22"/>
                <w:szCs w:val="22"/>
              </w:rPr>
              <w:tab/>
              <w:t>No Class</w:t>
            </w:r>
          </w:p>
        </w:tc>
        <w:tc>
          <w:tcPr>
            <w:tcW w:w="1530" w:type="dxa"/>
            <w:shd w:val="clear" w:color="auto" w:fill="C00000"/>
            <w:hideMark/>
          </w:tcPr>
          <w:p w:rsidR="00AF0D23" w:rsidRDefault="00AF0D23" w:rsidP="00B27596">
            <w:pPr>
              <w:keepNext/>
              <w:spacing w:before="20" w:after="20"/>
              <w:rPr>
                <w:rFonts w:cs="Arial"/>
                <w:b/>
                <w:color w:val="FFFFFF"/>
                <w:sz w:val="22"/>
                <w:szCs w:val="22"/>
              </w:rPr>
            </w:pPr>
          </w:p>
        </w:tc>
      </w:tr>
    </w:tbl>
    <w:p w:rsidR="00AF0D23" w:rsidRDefault="00AF0D23" w:rsidP="00613866"/>
    <w:p w:rsidR="006C68CB" w:rsidRDefault="006C68CB" w:rsidP="00613866"/>
    <w:p w:rsidR="00613866" w:rsidRDefault="00613866" w:rsidP="00613866"/>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613866" w:rsidRDefault="00B204FA">
            <w:pPr>
              <w:keepNext/>
              <w:spacing w:before="20"/>
              <w:ind w:left="1242" w:hanging="1242"/>
              <w:rPr>
                <w:rFonts w:cs="Arial"/>
                <w:b/>
                <w:snapToGrid w:val="0"/>
                <w:color w:val="FFFFFF"/>
                <w:sz w:val="22"/>
                <w:szCs w:val="22"/>
              </w:rPr>
            </w:pPr>
            <w:r>
              <w:rPr>
                <w:rFonts w:cs="Arial"/>
                <w:b/>
                <w:snapToGrid w:val="0"/>
                <w:color w:val="FFFFFF"/>
                <w:sz w:val="22"/>
                <w:szCs w:val="22"/>
              </w:rPr>
              <w:t>Week</w:t>
            </w:r>
            <w:r w:rsidR="00613866">
              <w:rPr>
                <w:rFonts w:cs="Arial"/>
                <w:b/>
                <w:snapToGrid w:val="0"/>
                <w:color w:val="FFFFFF"/>
                <w:sz w:val="22"/>
                <w:szCs w:val="22"/>
              </w:rPr>
              <w:t xml:space="preserve"> </w:t>
            </w:r>
            <w:r w:rsidR="007D17CE">
              <w:rPr>
                <w:rFonts w:cs="Arial"/>
                <w:b/>
                <w:snapToGrid w:val="0"/>
                <w:color w:val="FFFFFF"/>
                <w:sz w:val="22"/>
                <w:szCs w:val="22"/>
              </w:rPr>
              <w:t>1</w:t>
            </w:r>
            <w:r w:rsidR="009049C8">
              <w:rPr>
                <w:rFonts w:cs="Arial"/>
                <w:b/>
                <w:snapToGrid w:val="0"/>
                <w:color w:val="FFFFFF"/>
                <w:sz w:val="22"/>
                <w:szCs w:val="22"/>
              </w:rPr>
              <w:t>2</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613866">
              <w:rPr>
                <w:rFonts w:cs="Arial"/>
                <w:b/>
                <w:snapToGrid w:val="0"/>
                <w:color w:val="FFFFFF"/>
                <w:sz w:val="22"/>
                <w:szCs w:val="22"/>
              </w:rPr>
              <w:t>Engage</w:t>
            </w:r>
            <w:r w:rsidR="00E20F50">
              <w:rPr>
                <w:rFonts w:cs="Arial"/>
                <w:b/>
                <w:snapToGrid w:val="0"/>
                <w:color w:val="FFFFFF"/>
                <w:sz w:val="22"/>
                <w:szCs w:val="22"/>
              </w:rPr>
              <w:t>ment</w:t>
            </w:r>
            <w:r w:rsidR="00613866">
              <w:rPr>
                <w:rFonts w:cs="Arial"/>
                <w:b/>
                <w:snapToGrid w:val="0"/>
                <w:color w:val="FFFFFF"/>
                <w:sz w:val="22"/>
                <w:szCs w:val="22"/>
              </w:rPr>
              <w:t xml:space="preserve"> in Social Work Practice </w:t>
            </w:r>
            <w:r w:rsidR="00FD5AD8">
              <w:rPr>
                <w:rFonts w:cs="Arial"/>
                <w:b/>
                <w:snapToGrid w:val="0"/>
                <w:color w:val="FFFFFF"/>
                <w:sz w:val="22"/>
                <w:szCs w:val="22"/>
              </w:rPr>
              <w:t>and Social Justice Advocacy</w:t>
            </w:r>
          </w:p>
          <w:p w:rsidR="00613866" w:rsidRDefault="00334D7A">
            <w:pPr>
              <w:keepNext/>
              <w:spacing w:before="20"/>
              <w:ind w:left="1242" w:hanging="1242"/>
              <w:rPr>
                <w:rFonts w:cs="Arial"/>
                <w:b/>
                <w:color w:val="FFFFFF"/>
                <w:sz w:val="22"/>
                <w:szCs w:val="22"/>
              </w:rPr>
            </w:pPr>
            <w:r>
              <w:rPr>
                <w:rFonts w:cs="Arial"/>
                <w:b/>
                <w:snapToGrid w:val="0"/>
                <w:color w:val="FFFFFF"/>
                <w:sz w:val="22"/>
                <w:szCs w:val="22"/>
              </w:rPr>
              <w:t xml:space="preserve"> </w:t>
            </w:r>
          </w:p>
        </w:tc>
        <w:tc>
          <w:tcPr>
            <w:tcW w:w="1687" w:type="dxa"/>
            <w:shd w:val="clear" w:color="auto" w:fill="C00000"/>
            <w:hideMark/>
          </w:tcPr>
          <w:p w:rsidR="00613866" w:rsidRDefault="009049C8" w:rsidP="00B27596">
            <w:pPr>
              <w:keepNext/>
              <w:spacing w:before="20" w:after="20"/>
              <w:rPr>
                <w:rFonts w:cs="Arial"/>
                <w:b/>
                <w:color w:val="FFFFFF"/>
                <w:sz w:val="22"/>
                <w:szCs w:val="22"/>
              </w:rPr>
            </w:pPr>
            <w:r>
              <w:rPr>
                <w:rFonts w:cs="Arial"/>
                <w:b/>
                <w:color w:val="FFFFFF"/>
                <w:sz w:val="22"/>
                <w:szCs w:val="22"/>
              </w:rPr>
              <w:t>July 2</w:t>
            </w:r>
            <w:r w:rsidR="00D41FA1">
              <w:rPr>
                <w:rFonts w:cs="Arial"/>
                <w:b/>
                <w:color w:val="FFFFFF"/>
                <w:sz w:val="22"/>
                <w:szCs w:val="22"/>
              </w:rPr>
              <w:t>6</w:t>
            </w:r>
            <w:r>
              <w:rPr>
                <w:rFonts w:cs="Arial"/>
                <w:b/>
                <w:color w:val="FFFFFF"/>
                <w:sz w:val="22"/>
                <w:szCs w:val="22"/>
              </w:rPr>
              <w:t>, 2018</w:t>
            </w:r>
          </w:p>
        </w:tc>
      </w:tr>
      <w:tr w:rsidR="00613866" w:rsidTr="006C68CB">
        <w:trPr>
          <w:cantSplit/>
        </w:trPr>
        <w:tc>
          <w:tcPr>
            <w:tcW w:w="9522"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Unit 6</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hideMark/>
          </w:tcPr>
          <w:p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rsidTr="006C68CB">
        <w:trPr>
          <w:cantSplit/>
        </w:trPr>
        <w:tc>
          <w:tcPr>
            <w:tcW w:w="9522" w:type="dxa"/>
            <w:gridSpan w:val="2"/>
            <w:hideMark/>
          </w:tcPr>
          <w:p w:rsidR="00B1559F" w:rsidRDefault="00B1559F" w:rsidP="00631301">
            <w:pPr>
              <w:pStyle w:val="Level1"/>
              <w:ind w:left="684"/>
              <w:rPr>
                <w:szCs w:val="20"/>
              </w:rPr>
            </w:pPr>
            <w:r>
              <w:rPr>
                <w:szCs w:val="20"/>
              </w:rPr>
              <w:t xml:space="preserve">Introduction of </w:t>
            </w:r>
            <w:r w:rsidR="000D5CC8" w:rsidRPr="00720F09">
              <w:rPr>
                <w:szCs w:val="20"/>
              </w:rPr>
              <w:t xml:space="preserve">Assignment </w:t>
            </w:r>
            <w:r>
              <w:rPr>
                <w:szCs w:val="20"/>
              </w:rPr>
              <w:t>2</w:t>
            </w:r>
            <w:r w:rsidR="000D5CC8" w:rsidRPr="00720F09">
              <w:rPr>
                <w:szCs w:val="20"/>
              </w:rPr>
              <w:t>:</w:t>
            </w:r>
            <w:r w:rsidR="00334D7A">
              <w:rPr>
                <w:szCs w:val="20"/>
              </w:rPr>
              <w:t xml:space="preserve"> </w:t>
            </w:r>
            <w:r>
              <w:rPr>
                <w:szCs w:val="20"/>
              </w:rPr>
              <w:t>Social Work Practice and Social Justice Advocacy Presentation</w:t>
            </w:r>
          </w:p>
          <w:p w:rsidR="00AC50C7" w:rsidRPr="00AC50C7" w:rsidRDefault="00AC50C7" w:rsidP="00B1559F">
            <w:pPr>
              <w:pStyle w:val="Level1"/>
              <w:numPr>
                <w:ilvl w:val="0"/>
                <w:numId w:val="0"/>
              </w:numPr>
              <w:ind w:left="338"/>
              <w:rPr>
                <w:szCs w:val="20"/>
              </w:rPr>
            </w:pPr>
          </w:p>
        </w:tc>
      </w:tr>
    </w:tbl>
    <w:p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C25656">
        <w:rPr>
          <w:szCs w:val="20"/>
        </w:rPr>
        <w:t xml:space="preserve">, 3, </w:t>
      </w:r>
      <w:r w:rsidR="00F4475E">
        <w:rPr>
          <w:szCs w:val="20"/>
        </w:rPr>
        <w:t xml:space="preserve">and </w:t>
      </w:r>
      <w:r w:rsidR="00C25656">
        <w:rPr>
          <w:szCs w:val="20"/>
        </w:rPr>
        <w:t>5</w:t>
      </w:r>
      <w:r w:rsidR="00F4475E">
        <w:rPr>
          <w:szCs w:val="20"/>
        </w:rPr>
        <w:t>.</w:t>
      </w:r>
    </w:p>
    <w:p w:rsidR="00631301" w:rsidRPr="00AC50C7" w:rsidRDefault="00631301" w:rsidP="00631301">
      <w:pPr>
        <w:pStyle w:val="BodyText"/>
        <w:ind w:left="180"/>
        <w:rPr>
          <w:szCs w:val="20"/>
        </w:rPr>
      </w:pPr>
    </w:p>
    <w:p w:rsidR="00613866" w:rsidRPr="00AC50C7" w:rsidRDefault="00613866" w:rsidP="00631301">
      <w:pPr>
        <w:pStyle w:val="Heading3"/>
        <w:spacing w:after="0"/>
        <w:ind w:left="180"/>
        <w:rPr>
          <w:sz w:val="20"/>
          <w:szCs w:val="20"/>
        </w:rPr>
      </w:pPr>
      <w:r w:rsidRPr="00AC50C7">
        <w:rPr>
          <w:sz w:val="20"/>
          <w:szCs w:val="20"/>
        </w:rPr>
        <w:t>Required Reading</w:t>
      </w:r>
    </w:p>
    <w:p w:rsidR="00613866" w:rsidRPr="00AC50C7" w:rsidRDefault="00613866" w:rsidP="00631301">
      <w:pPr>
        <w:ind w:left="180"/>
      </w:pPr>
    </w:p>
    <w:p w:rsidR="00631301" w:rsidRPr="003372EE" w:rsidRDefault="00613866" w:rsidP="00631301">
      <w:pPr>
        <w:ind w:firstLine="180"/>
        <w:rPr>
          <w:rFonts w:cs="Arial"/>
          <w:i/>
        </w:rPr>
      </w:pPr>
      <w:r w:rsidRPr="00AC50C7">
        <w:rPr>
          <w:rFonts w:cs="Arial"/>
        </w:rPr>
        <w:t xml:space="preserve">Soydan, </w:t>
      </w:r>
      <w:r w:rsidR="00F4475E">
        <w:rPr>
          <w:rFonts w:cs="Arial"/>
        </w:rPr>
        <w:t>H., &amp;</w:t>
      </w:r>
      <w:r w:rsidRPr="00AC50C7">
        <w:rPr>
          <w:rFonts w:cs="Arial"/>
        </w:rPr>
        <w:t xml:space="preserve"> Palinkas, </w:t>
      </w:r>
      <w:r w:rsidR="00F4475E">
        <w:rPr>
          <w:rFonts w:cs="Arial"/>
        </w:rPr>
        <w:t xml:space="preserve">L. </w:t>
      </w:r>
      <w:r w:rsidR="0058101E">
        <w:rPr>
          <w:rFonts w:cs="Arial"/>
        </w:rPr>
        <w:t xml:space="preserve">A. (2014). </w:t>
      </w:r>
      <w:r w:rsidR="0058101E" w:rsidRPr="003372EE">
        <w:rPr>
          <w:rFonts w:cs="Arial"/>
          <w:i/>
        </w:rPr>
        <w:t>Evidence-based practice in social w</w:t>
      </w:r>
      <w:r w:rsidRPr="003372EE">
        <w:rPr>
          <w:rFonts w:cs="Arial"/>
          <w:i/>
        </w:rPr>
        <w:t xml:space="preserve">ork: Development </w:t>
      </w:r>
    </w:p>
    <w:p w:rsidR="00613866" w:rsidRPr="00AC50C7" w:rsidRDefault="00613866" w:rsidP="00631301">
      <w:pPr>
        <w:ind w:left="720" w:firstLine="180"/>
        <w:rPr>
          <w:rFonts w:cs="Arial"/>
        </w:rPr>
      </w:pPr>
      <w:r w:rsidRPr="003372EE">
        <w:rPr>
          <w:rFonts w:cs="Arial"/>
          <w:i/>
        </w:rPr>
        <w:t>of</w:t>
      </w:r>
      <w:r w:rsidR="00631301" w:rsidRPr="003372EE">
        <w:rPr>
          <w:rFonts w:cs="Arial"/>
          <w:i/>
        </w:rPr>
        <w:t xml:space="preserve"> a</w:t>
      </w:r>
      <w:r w:rsidR="0058101E" w:rsidRPr="003372EE">
        <w:rPr>
          <w:rFonts w:cs="Arial"/>
          <w:i/>
        </w:rPr>
        <w:t xml:space="preserve"> new professional c</w:t>
      </w:r>
      <w:r w:rsidRPr="003372EE">
        <w:rPr>
          <w:rFonts w:cs="Arial"/>
          <w:i/>
        </w:rPr>
        <w:t>ulture</w:t>
      </w:r>
      <w:r w:rsidRPr="00AC50C7">
        <w:rPr>
          <w:rFonts w:cs="Arial"/>
        </w:rPr>
        <w:t xml:space="preserve"> (pp. 113</w:t>
      </w:r>
      <w:r w:rsidR="00F4475E">
        <w:rPr>
          <w:rFonts w:cs="Arial"/>
        </w:rPr>
        <w:t>–</w:t>
      </w:r>
      <w:r w:rsidRPr="00AC50C7">
        <w:rPr>
          <w:rFonts w:cs="Arial"/>
        </w:rPr>
        <w:t xml:space="preserve">131). </w:t>
      </w:r>
      <w:proofErr w:type="spellStart"/>
      <w:r w:rsidR="0058101E">
        <w:rPr>
          <w:rFonts w:cs="Arial"/>
        </w:rPr>
        <w:t>ebook</w:t>
      </w:r>
      <w:proofErr w:type="spellEnd"/>
      <w:r w:rsidR="0058101E">
        <w:rPr>
          <w:rFonts w:cs="Arial"/>
        </w:rPr>
        <w:t xml:space="preserve"> available via USC library.</w:t>
      </w:r>
    </w:p>
    <w:p w:rsidR="00613866" w:rsidRPr="00AC50C7" w:rsidRDefault="00613866" w:rsidP="00613866">
      <w:pPr>
        <w:pStyle w:val="Bib"/>
        <w:spacing w:after="0"/>
        <w:ind w:left="0" w:firstLine="0"/>
      </w:pPr>
    </w:p>
    <w:tbl>
      <w:tblPr>
        <w:tblW w:w="9540" w:type="dxa"/>
        <w:tblInd w:w="18" w:type="dxa"/>
        <w:tblLook w:val="04A0" w:firstRow="1" w:lastRow="0" w:firstColumn="1" w:lastColumn="0" w:noHBand="0" w:noVBand="1"/>
      </w:tblPr>
      <w:tblGrid>
        <w:gridCol w:w="8010"/>
        <w:gridCol w:w="1530"/>
      </w:tblGrid>
      <w:tr w:rsidR="00AF0D23" w:rsidTr="002555F8">
        <w:trPr>
          <w:cantSplit/>
          <w:tblHeader/>
        </w:trPr>
        <w:tc>
          <w:tcPr>
            <w:tcW w:w="8010" w:type="dxa"/>
            <w:shd w:val="clear" w:color="auto" w:fill="C00000"/>
            <w:hideMark/>
          </w:tcPr>
          <w:p w:rsidR="00AF0D23" w:rsidRDefault="00AC50C7" w:rsidP="00AC50C7">
            <w:pPr>
              <w:keepNext/>
              <w:spacing w:before="20" w:after="240"/>
              <w:rPr>
                <w:rFonts w:cs="Arial"/>
                <w:b/>
                <w:color w:val="FFFFFF"/>
                <w:sz w:val="22"/>
                <w:szCs w:val="22"/>
              </w:rPr>
            </w:pPr>
            <w:r>
              <w:rPr>
                <w:rFonts w:cs="Arial"/>
                <w:b/>
                <w:snapToGrid w:val="0"/>
                <w:color w:val="FFFFFF"/>
                <w:sz w:val="22"/>
                <w:szCs w:val="22"/>
              </w:rPr>
              <w:t>Week</w:t>
            </w:r>
            <w:r w:rsidR="00AF0D23">
              <w:rPr>
                <w:rFonts w:cs="Arial"/>
                <w:b/>
                <w:snapToGrid w:val="0"/>
                <w:color w:val="FFFFFF"/>
                <w:sz w:val="22"/>
                <w:szCs w:val="22"/>
              </w:rPr>
              <w:t xml:space="preserve"> </w:t>
            </w:r>
            <w:r w:rsidR="007D17CE">
              <w:rPr>
                <w:rFonts w:cs="Arial"/>
                <w:b/>
                <w:snapToGrid w:val="0"/>
                <w:color w:val="FFFFFF"/>
                <w:sz w:val="22"/>
                <w:szCs w:val="22"/>
              </w:rPr>
              <w:t>1</w:t>
            </w:r>
            <w:r w:rsidR="009049C8">
              <w:rPr>
                <w:rFonts w:cs="Arial"/>
                <w:b/>
                <w:snapToGrid w:val="0"/>
                <w:color w:val="FFFFFF"/>
                <w:sz w:val="22"/>
                <w:szCs w:val="22"/>
              </w:rPr>
              <w:t>3</w:t>
            </w:r>
            <w:r w:rsidR="007D17CE">
              <w:rPr>
                <w:rFonts w:cs="Arial"/>
                <w:b/>
                <w:snapToGrid w:val="0"/>
                <w:color w:val="FFFFFF"/>
                <w:sz w:val="22"/>
                <w:szCs w:val="22"/>
              </w:rPr>
              <w:t>:</w:t>
            </w:r>
            <w:r w:rsidR="00AF0D23">
              <w:rPr>
                <w:rFonts w:cs="Arial"/>
                <w:b/>
                <w:snapToGrid w:val="0"/>
                <w:color w:val="FFFFFF"/>
                <w:sz w:val="22"/>
                <w:szCs w:val="22"/>
              </w:rPr>
              <w:tab/>
              <w:t>No Class</w:t>
            </w:r>
          </w:p>
        </w:tc>
        <w:tc>
          <w:tcPr>
            <w:tcW w:w="1530" w:type="dxa"/>
            <w:shd w:val="clear" w:color="auto" w:fill="C00000"/>
            <w:hideMark/>
          </w:tcPr>
          <w:p w:rsidR="00AF0D23" w:rsidRDefault="00AF0D23" w:rsidP="007D17CE">
            <w:pPr>
              <w:keepNext/>
              <w:spacing w:before="20" w:after="20"/>
              <w:rPr>
                <w:rFonts w:cs="Arial"/>
                <w:b/>
                <w:color w:val="FFFFFF"/>
                <w:sz w:val="22"/>
                <w:szCs w:val="22"/>
              </w:rPr>
            </w:pPr>
          </w:p>
        </w:tc>
      </w:tr>
    </w:tbl>
    <w:p w:rsidR="00AF0D23" w:rsidRDefault="00AF0D23" w:rsidP="00613866">
      <w:pPr>
        <w:pStyle w:val="Bib"/>
        <w:spacing w:after="0"/>
        <w:ind w:left="0" w:firstLine="0"/>
      </w:pPr>
    </w:p>
    <w:p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7840"/>
        <w:gridCol w:w="1682"/>
      </w:tblGrid>
      <w:tr w:rsidR="00613866" w:rsidTr="007D17CE">
        <w:trPr>
          <w:cantSplit/>
          <w:tblHeader/>
        </w:trPr>
        <w:tc>
          <w:tcPr>
            <w:tcW w:w="7840" w:type="dxa"/>
            <w:shd w:val="clear" w:color="auto" w:fill="C00000"/>
            <w:hideMark/>
          </w:tcPr>
          <w:p w:rsidR="00613866" w:rsidRDefault="00AC50C7" w:rsidP="00C04112">
            <w:pPr>
              <w:keepNext/>
              <w:spacing w:before="20"/>
              <w:ind w:left="1242" w:hanging="1242"/>
              <w:rPr>
                <w:rFonts w:cs="Arial"/>
                <w:b/>
                <w:color w:val="FFFFFF"/>
                <w:sz w:val="22"/>
                <w:szCs w:val="22"/>
              </w:rPr>
            </w:pPr>
            <w:r>
              <w:rPr>
                <w:rFonts w:cs="Arial"/>
                <w:b/>
                <w:snapToGrid w:val="0"/>
                <w:color w:val="FFFFFF"/>
                <w:sz w:val="22"/>
                <w:szCs w:val="22"/>
              </w:rPr>
              <w:t xml:space="preserve">Week </w:t>
            </w:r>
            <w:r w:rsidR="007D17CE">
              <w:rPr>
                <w:rFonts w:cs="Arial"/>
                <w:b/>
                <w:snapToGrid w:val="0"/>
                <w:color w:val="FFFFFF"/>
                <w:sz w:val="22"/>
                <w:szCs w:val="22"/>
              </w:rPr>
              <w:t>1</w:t>
            </w:r>
            <w:r w:rsidR="009049C8">
              <w:rPr>
                <w:rFonts w:cs="Arial"/>
                <w:b/>
                <w:snapToGrid w:val="0"/>
                <w:color w:val="FFFFFF"/>
                <w:sz w:val="22"/>
                <w:szCs w:val="22"/>
              </w:rPr>
              <w:t>4</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613866">
              <w:rPr>
                <w:rFonts w:cs="Arial"/>
                <w:b/>
                <w:snapToGrid w:val="0"/>
                <w:color w:val="FFFFFF"/>
                <w:sz w:val="22"/>
                <w:szCs w:val="22"/>
              </w:rPr>
              <w:t>Engage</w:t>
            </w:r>
            <w:r w:rsidR="00E20F50">
              <w:rPr>
                <w:rFonts w:cs="Arial"/>
                <w:b/>
                <w:snapToGrid w:val="0"/>
                <w:color w:val="FFFFFF"/>
                <w:sz w:val="22"/>
                <w:szCs w:val="22"/>
              </w:rPr>
              <w:t>ment</w:t>
            </w:r>
            <w:r w:rsidR="00613866">
              <w:rPr>
                <w:rFonts w:cs="Arial"/>
                <w:b/>
                <w:snapToGrid w:val="0"/>
                <w:color w:val="FFFFFF"/>
                <w:sz w:val="22"/>
                <w:szCs w:val="22"/>
              </w:rPr>
              <w:t xml:space="preserve"> in Social Work Practice </w:t>
            </w:r>
            <w:r w:rsidR="00C04112">
              <w:rPr>
                <w:rFonts w:cs="Arial"/>
                <w:b/>
                <w:snapToGrid w:val="0"/>
                <w:color w:val="FFFFFF"/>
                <w:sz w:val="22"/>
                <w:szCs w:val="22"/>
              </w:rPr>
              <w:t xml:space="preserve">and Social Justice Advocacy </w:t>
            </w:r>
            <w:r w:rsidR="00613866">
              <w:rPr>
                <w:rFonts w:cs="Arial"/>
                <w:b/>
                <w:snapToGrid w:val="0"/>
                <w:color w:val="FFFFFF"/>
                <w:sz w:val="22"/>
                <w:szCs w:val="22"/>
              </w:rPr>
              <w:t xml:space="preserve">Presentations </w:t>
            </w:r>
          </w:p>
        </w:tc>
        <w:tc>
          <w:tcPr>
            <w:tcW w:w="1682" w:type="dxa"/>
            <w:shd w:val="clear" w:color="auto" w:fill="C00000"/>
            <w:hideMark/>
          </w:tcPr>
          <w:p w:rsidR="00613866" w:rsidRPr="00360890" w:rsidRDefault="00334D7A" w:rsidP="007D17CE">
            <w:pPr>
              <w:keepNext/>
              <w:spacing w:before="20" w:after="20"/>
              <w:rPr>
                <w:rFonts w:cs="Arial"/>
                <w:b/>
                <w:color w:val="FFFFFF"/>
                <w:sz w:val="18"/>
                <w:szCs w:val="18"/>
              </w:rPr>
            </w:pPr>
            <w:r>
              <w:rPr>
                <w:rFonts w:cs="Arial"/>
                <w:b/>
                <w:color w:val="FFFFFF"/>
                <w:sz w:val="22"/>
                <w:szCs w:val="22"/>
              </w:rPr>
              <w:t xml:space="preserve"> </w:t>
            </w:r>
            <w:r w:rsidR="00D41FA1">
              <w:rPr>
                <w:rFonts w:cs="Arial"/>
                <w:b/>
                <w:color w:val="FFFFFF"/>
                <w:sz w:val="22"/>
                <w:szCs w:val="22"/>
              </w:rPr>
              <w:t>Aug 9, 2018</w:t>
            </w:r>
          </w:p>
        </w:tc>
      </w:tr>
      <w:tr w:rsidR="00613866" w:rsidTr="007D17CE">
        <w:trPr>
          <w:cantSplit/>
        </w:trPr>
        <w:tc>
          <w:tcPr>
            <w:tcW w:w="9522"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Unit 7</w:t>
            </w:r>
          </w:p>
          <w:p w:rsidR="00AC50C7" w:rsidRPr="00AC50C7" w:rsidRDefault="00AC50C7">
            <w:pPr>
              <w:keepNext/>
              <w:rPr>
                <w:rFonts w:cs="Arial"/>
                <w:b/>
                <w:bCs/>
                <w:color w:val="262626"/>
                <w:sz w:val="22"/>
                <w:szCs w:val="22"/>
              </w:rPr>
            </w:pPr>
          </w:p>
        </w:tc>
      </w:tr>
      <w:tr w:rsidR="00613866" w:rsidRPr="00AC50C7" w:rsidTr="007D17CE">
        <w:trPr>
          <w:cantSplit/>
          <w:trHeight w:val="585"/>
        </w:trPr>
        <w:tc>
          <w:tcPr>
            <w:tcW w:w="9522" w:type="dxa"/>
            <w:gridSpan w:val="2"/>
            <w:hideMark/>
          </w:tcPr>
          <w:p w:rsidR="00613866" w:rsidRPr="00AC50C7" w:rsidRDefault="00613866" w:rsidP="00B1559F">
            <w:pPr>
              <w:pStyle w:val="Level1"/>
              <w:numPr>
                <w:ilvl w:val="0"/>
                <w:numId w:val="31"/>
              </w:numPr>
              <w:ind w:left="774" w:hanging="450"/>
              <w:rPr>
                <w:szCs w:val="20"/>
              </w:rPr>
            </w:pPr>
            <w:r w:rsidRPr="00AC50C7">
              <w:rPr>
                <w:szCs w:val="20"/>
              </w:rPr>
              <w:t xml:space="preserve">Professional consultation, development, </w:t>
            </w:r>
            <w:r w:rsidR="00F4475E">
              <w:rPr>
                <w:szCs w:val="20"/>
              </w:rPr>
              <w:t>and</w:t>
            </w:r>
            <w:r w:rsidRPr="00AC50C7">
              <w:rPr>
                <w:szCs w:val="20"/>
              </w:rPr>
              <w:t xml:space="preserve"> mindful reflection all</w:t>
            </w:r>
            <w:r w:rsidR="00B1559F">
              <w:rPr>
                <w:szCs w:val="20"/>
              </w:rPr>
              <w:t xml:space="preserve">ow for students to process the </w:t>
            </w:r>
            <w:r w:rsidRPr="00AC50C7">
              <w:rPr>
                <w:szCs w:val="20"/>
              </w:rPr>
              <w:t>field placement experience</w:t>
            </w:r>
          </w:p>
          <w:p w:rsidR="00B1559F" w:rsidRDefault="00B1559F" w:rsidP="00B1559F">
            <w:pPr>
              <w:pStyle w:val="Level1"/>
              <w:numPr>
                <w:ilvl w:val="0"/>
                <w:numId w:val="31"/>
              </w:numPr>
              <w:tabs>
                <w:tab w:val="clear" w:pos="706"/>
                <w:tab w:val="num" w:pos="684"/>
              </w:tabs>
              <w:ind w:left="774" w:hanging="450"/>
              <w:rPr>
                <w:szCs w:val="20"/>
              </w:rPr>
            </w:pPr>
            <w:r>
              <w:rPr>
                <w:szCs w:val="20"/>
              </w:rPr>
              <w:t>Assignment 2</w:t>
            </w:r>
            <w:r w:rsidR="0095485A" w:rsidRPr="00AC50C7">
              <w:rPr>
                <w:szCs w:val="20"/>
              </w:rPr>
              <w:t>:</w:t>
            </w:r>
            <w:r w:rsidR="00334D7A">
              <w:rPr>
                <w:szCs w:val="20"/>
              </w:rPr>
              <w:t xml:space="preserve"> </w:t>
            </w:r>
            <w:r w:rsidR="00613866" w:rsidRPr="00AC50C7">
              <w:rPr>
                <w:szCs w:val="20"/>
              </w:rPr>
              <w:t>Student</w:t>
            </w:r>
            <w:r>
              <w:rPr>
                <w:szCs w:val="20"/>
              </w:rPr>
              <w:t xml:space="preserve"> Presentations</w:t>
            </w:r>
            <w:r w:rsidR="00F4475E">
              <w:rPr>
                <w:szCs w:val="20"/>
              </w:rPr>
              <w:t>—</w:t>
            </w:r>
            <w:r>
              <w:rPr>
                <w:szCs w:val="20"/>
              </w:rPr>
              <w:t xml:space="preserve">Social Work Practice and Social Justice Advocacy Group </w:t>
            </w:r>
          </w:p>
          <w:p w:rsidR="00613866" w:rsidRDefault="00B1559F" w:rsidP="00B1559F">
            <w:pPr>
              <w:pStyle w:val="Level1"/>
              <w:numPr>
                <w:ilvl w:val="0"/>
                <w:numId w:val="0"/>
              </w:numPr>
              <w:ind w:left="774"/>
              <w:rPr>
                <w:szCs w:val="20"/>
              </w:rPr>
            </w:pPr>
            <w:r>
              <w:rPr>
                <w:szCs w:val="20"/>
              </w:rPr>
              <w:t>Project</w:t>
            </w:r>
          </w:p>
          <w:p w:rsidR="00631301" w:rsidRDefault="00B1559F" w:rsidP="00B1559F">
            <w:pPr>
              <w:pStyle w:val="Level1"/>
              <w:numPr>
                <w:ilvl w:val="0"/>
                <w:numId w:val="31"/>
              </w:numPr>
              <w:ind w:left="684" w:hanging="360"/>
              <w:rPr>
                <w:szCs w:val="20"/>
              </w:rPr>
            </w:pPr>
            <w:r>
              <w:rPr>
                <w:szCs w:val="20"/>
              </w:rPr>
              <w:t xml:space="preserve">Review </w:t>
            </w:r>
            <w:r w:rsidR="00F4475E">
              <w:rPr>
                <w:szCs w:val="20"/>
              </w:rPr>
              <w:t>t</w:t>
            </w:r>
            <w:r w:rsidR="00631301">
              <w:rPr>
                <w:szCs w:val="20"/>
              </w:rPr>
              <w:t>ermination</w:t>
            </w:r>
          </w:p>
          <w:p w:rsidR="00631301" w:rsidRDefault="00B1559F" w:rsidP="00B1559F">
            <w:pPr>
              <w:pStyle w:val="Level1"/>
              <w:numPr>
                <w:ilvl w:val="0"/>
                <w:numId w:val="31"/>
              </w:numPr>
              <w:tabs>
                <w:tab w:val="clear" w:pos="706"/>
                <w:tab w:val="num" w:pos="684"/>
              </w:tabs>
              <w:ind w:left="774" w:hanging="450"/>
              <w:rPr>
                <w:szCs w:val="20"/>
              </w:rPr>
            </w:pPr>
            <w:r>
              <w:rPr>
                <w:szCs w:val="20"/>
              </w:rPr>
              <w:t xml:space="preserve">Course </w:t>
            </w:r>
            <w:r w:rsidR="00F4475E">
              <w:rPr>
                <w:szCs w:val="20"/>
              </w:rPr>
              <w:t>r</w:t>
            </w:r>
            <w:r w:rsidR="00631301">
              <w:rPr>
                <w:szCs w:val="20"/>
              </w:rPr>
              <w:t>eflection</w:t>
            </w:r>
          </w:p>
          <w:p w:rsidR="00B1559F" w:rsidRPr="00AC50C7" w:rsidRDefault="00B1559F" w:rsidP="00B1559F">
            <w:pPr>
              <w:pStyle w:val="Level1"/>
              <w:numPr>
                <w:ilvl w:val="0"/>
                <w:numId w:val="0"/>
              </w:numPr>
              <w:ind w:left="774"/>
              <w:rPr>
                <w:szCs w:val="20"/>
              </w:rPr>
            </w:pPr>
          </w:p>
        </w:tc>
      </w:tr>
      <w:tr w:rsidR="00613866" w:rsidRPr="00AC50C7" w:rsidTr="007D17CE">
        <w:trPr>
          <w:cantSplit/>
        </w:trPr>
        <w:tc>
          <w:tcPr>
            <w:tcW w:w="9522" w:type="dxa"/>
            <w:gridSpan w:val="2"/>
            <w:hideMark/>
          </w:tcPr>
          <w:p w:rsidR="00B1559F" w:rsidRPr="00AC50C7" w:rsidRDefault="00B1559F" w:rsidP="00631301">
            <w:pPr>
              <w:pStyle w:val="Level1"/>
              <w:numPr>
                <w:ilvl w:val="0"/>
                <w:numId w:val="0"/>
              </w:numPr>
              <w:spacing w:before="0" w:after="0"/>
              <w:rPr>
                <w:szCs w:val="20"/>
              </w:rPr>
            </w:pPr>
          </w:p>
        </w:tc>
      </w:tr>
    </w:tbl>
    <w:p w:rsidR="00613866" w:rsidRPr="00AC50C7"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F4475E">
        <w:rPr>
          <w:szCs w:val="20"/>
        </w:rPr>
        <w:t>–</w:t>
      </w:r>
      <w:r w:rsidR="00B1559F">
        <w:rPr>
          <w:szCs w:val="20"/>
        </w:rPr>
        <w:t>6</w:t>
      </w:r>
      <w:r w:rsidR="00F4475E">
        <w:rPr>
          <w:szCs w:val="20"/>
        </w:rPr>
        <w:t>.</w:t>
      </w:r>
    </w:p>
    <w:p w:rsidR="00613866" w:rsidRPr="00AC50C7" w:rsidRDefault="00613866" w:rsidP="00631301">
      <w:pPr>
        <w:pStyle w:val="Heading3"/>
        <w:spacing w:before="0"/>
        <w:ind w:left="180"/>
        <w:rPr>
          <w:sz w:val="20"/>
          <w:szCs w:val="20"/>
        </w:rPr>
      </w:pPr>
    </w:p>
    <w:p w:rsidR="00613866" w:rsidRPr="00AC50C7" w:rsidRDefault="00613866" w:rsidP="00B1559F">
      <w:pPr>
        <w:pStyle w:val="Heading3"/>
        <w:spacing w:after="0"/>
        <w:ind w:left="180"/>
        <w:rPr>
          <w:sz w:val="20"/>
          <w:szCs w:val="20"/>
        </w:rPr>
      </w:pPr>
      <w:r w:rsidRPr="00AC50C7">
        <w:rPr>
          <w:sz w:val="20"/>
          <w:szCs w:val="20"/>
        </w:rPr>
        <w:t>Required Reading</w:t>
      </w:r>
    </w:p>
    <w:p w:rsidR="00613866" w:rsidRPr="00AC50C7" w:rsidRDefault="00613866" w:rsidP="00631301">
      <w:pPr>
        <w:pStyle w:val="BodyText"/>
        <w:spacing w:after="0"/>
        <w:ind w:left="180"/>
        <w:rPr>
          <w:szCs w:val="20"/>
        </w:rPr>
      </w:pPr>
    </w:p>
    <w:p w:rsidR="00613866" w:rsidRPr="00AC50C7" w:rsidRDefault="00613866" w:rsidP="00E11CB9">
      <w:pPr>
        <w:ind w:left="907" w:hanging="720"/>
      </w:pPr>
      <w:r w:rsidRPr="00AC50C7">
        <w:t xml:space="preserve">Kemp, S. P., Palinkas, L. A., Wong, M., Wagner, K., Reyes </w:t>
      </w:r>
      <w:r w:rsidR="0035641A" w:rsidRPr="00AC50C7">
        <w:t xml:space="preserve">Mason, L., Chi, I., </w:t>
      </w:r>
      <w:r w:rsidR="00F4475E">
        <w:t xml:space="preserve">&amp; </w:t>
      </w:r>
      <w:proofErr w:type="spellStart"/>
      <w:r w:rsidRPr="00AC50C7">
        <w:t>Rechkemmer</w:t>
      </w:r>
      <w:proofErr w:type="spellEnd"/>
      <w:r w:rsidRPr="00AC50C7">
        <w:t xml:space="preserve">, A. (2015). </w:t>
      </w:r>
      <w:r w:rsidR="0058101E">
        <w:rPr>
          <w:i/>
        </w:rPr>
        <w:t>Strengthening the social response to the human impacts of environmental c</w:t>
      </w:r>
      <w:r w:rsidRPr="00AC50C7">
        <w:rPr>
          <w:i/>
        </w:rPr>
        <w:t xml:space="preserve">hange </w:t>
      </w:r>
      <w:r w:rsidRPr="00AC50C7">
        <w:t xml:space="preserve">(Grand </w:t>
      </w:r>
      <w:r w:rsidR="00995B52">
        <w:t>challenges for social work initiative working p</w:t>
      </w:r>
      <w:r w:rsidRPr="00AC50C7">
        <w:t>aper No. 5). C</w:t>
      </w:r>
      <w:r w:rsidR="00DE429A" w:rsidRPr="00AC50C7">
        <w:t>leveland, OH: American Academy</w:t>
      </w:r>
      <w:r w:rsidR="00F4475E">
        <w:t xml:space="preserve"> </w:t>
      </w:r>
      <w:r w:rsidRPr="00AC50C7">
        <w:t>of Social Work and Social Welfare.</w:t>
      </w:r>
    </w:p>
    <w:p w:rsidR="00613866" w:rsidRPr="00AC50C7" w:rsidRDefault="00613866" w:rsidP="00631301">
      <w:pPr>
        <w:pStyle w:val="BodyText"/>
        <w:spacing w:after="0"/>
        <w:ind w:left="180" w:firstLine="720"/>
        <w:rPr>
          <w:szCs w:val="20"/>
        </w:rPr>
      </w:pPr>
    </w:p>
    <w:p w:rsidR="007D17CE" w:rsidRDefault="007D17CE" w:rsidP="008C298A">
      <w:pPr>
        <w:pBdr>
          <w:bottom w:val="single" w:sz="18" w:space="1" w:color="C00000"/>
        </w:pBdr>
        <w:spacing w:after="320"/>
        <w:rPr>
          <w:rFonts w:cs="Arial"/>
          <w:b/>
          <w:bCs/>
          <w:color w:val="262626"/>
          <w:sz w:val="32"/>
          <w:szCs w:val="32"/>
        </w:rPr>
      </w:pPr>
    </w:p>
    <w:p w:rsidR="00090810" w:rsidRPr="008C298A" w:rsidRDefault="0006241B" w:rsidP="006C718C">
      <w:pPr>
        <w:pBdr>
          <w:bottom w:val="single" w:sz="18" w:space="1" w:color="C00000"/>
        </w:pBdr>
        <w:tabs>
          <w:tab w:val="left" w:pos="5993"/>
        </w:tabs>
        <w:spacing w:after="320"/>
        <w:jc w:val="center"/>
        <w:rPr>
          <w:rFonts w:cs="Arial"/>
          <w:b/>
          <w:bCs/>
          <w:color w:val="262626"/>
          <w:sz w:val="32"/>
          <w:szCs w:val="32"/>
        </w:rPr>
      </w:pPr>
      <w:r>
        <w:rPr>
          <w:rFonts w:cs="Arial"/>
          <w:b/>
          <w:bCs/>
          <w:color w:val="262626"/>
          <w:sz w:val="32"/>
          <w:szCs w:val="32"/>
        </w:rPr>
        <w:t>University Policies and Guidelines</w:t>
      </w:r>
    </w:p>
    <w:p w:rsidR="008C298A" w:rsidRDefault="008C298A" w:rsidP="00E10B7D">
      <w:pPr>
        <w:pStyle w:val="Heading1"/>
        <w:numPr>
          <w:ilvl w:val="0"/>
          <w:numId w:val="0"/>
        </w:numPr>
        <w:ind w:left="360"/>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notify the instructor by email </w:t>
      </w:r>
      <w:hyperlink r:id="rId23" w:history="1">
        <w:r w:rsidR="00360890" w:rsidRPr="008B420D">
          <w:rPr>
            <w:rStyle w:val="Hyperlink"/>
          </w:rPr>
          <w:t>michelse@usc.edu</w:t>
        </w:r>
      </w:hyperlink>
      <w:r w:rsidR="00360890">
        <w:t xml:space="preserve"> </w:t>
      </w:r>
      <w:r w:rsidRPr="00D20FB5">
        <w:t>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334D7A">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Default="008C298A" w:rsidP="008C298A">
      <w:pPr>
        <w:pStyle w:val="BodyText"/>
      </w:pPr>
      <w:r w:rsidRPr="00D20FB5">
        <w:lastRenderedPageBreak/>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E10B7D" w:rsidRDefault="00E10B7D" w:rsidP="008C298A">
      <w:pPr>
        <w:pStyle w:val="BodyText"/>
      </w:pPr>
    </w:p>
    <w:p w:rsidR="00E10B7D" w:rsidRPr="00E10B7D" w:rsidRDefault="00E10B7D" w:rsidP="00E10B7D">
      <w:pPr>
        <w:spacing w:before="150" w:after="150"/>
        <w:jc w:val="center"/>
        <w:outlineLvl w:val="2"/>
        <w:rPr>
          <w:rFonts w:ascii="inherit" w:hAnsi="inherit"/>
          <w:color w:val="C00000"/>
          <w:sz w:val="36"/>
          <w:szCs w:val="36"/>
        </w:rPr>
      </w:pPr>
      <w:r w:rsidRPr="00E10B7D">
        <w:rPr>
          <w:rFonts w:ascii="inherit" w:hAnsi="inherit"/>
          <w:color w:val="C00000"/>
          <w:sz w:val="36"/>
          <w:szCs w:val="36"/>
        </w:rPr>
        <w:t>Statement on Academic Conduct and Support Systems</w:t>
      </w:r>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b/>
          <w:bCs/>
          <w:color w:val="333333"/>
          <w:sz w:val="21"/>
          <w:szCs w:val="21"/>
        </w:rPr>
        <w:t>Academic Conduct:</w:t>
      </w:r>
      <w:r w:rsidRPr="00E10B7D">
        <w:rPr>
          <w:rFonts w:ascii="Helvetica Neue" w:eastAsia="Calibri" w:hAnsi="Helvetica Neue"/>
          <w:color w:val="333333"/>
          <w:sz w:val="21"/>
          <w:szCs w:val="21"/>
        </w:rPr>
        <w:br/>
        <w:t>Plagiarism – presenting someone else’s ideas as your own, either verbatim or recast in your own words – is a serious academic offense with serious consequences. Please familiarize yourself with the discussion of plagiarism in </w:t>
      </w:r>
      <w:proofErr w:type="spellStart"/>
      <w:r w:rsidRPr="00E10B7D">
        <w:rPr>
          <w:rFonts w:ascii="Helvetica Neue" w:eastAsia="Calibri" w:hAnsi="Helvetica Neue"/>
          <w:i/>
          <w:iCs/>
          <w:color w:val="333333"/>
          <w:sz w:val="21"/>
          <w:szCs w:val="21"/>
        </w:rPr>
        <w:t>SCampus</w:t>
      </w:r>
      <w:proofErr w:type="spellEnd"/>
      <w:r w:rsidRPr="00E10B7D">
        <w:rPr>
          <w:rFonts w:ascii="Helvetica Neue" w:eastAsia="Calibri" w:hAnsi="Helvetica Neue"/>
          <w:color w:val="333333"/>
          <w:sz w:val="21"/>
          <w:szCs w:val="21"/>
        </w:rPr>
        <w:t> in Part B, Section 11, “Behavior Violating University Standards” </w:t>
      </w:r>
      <w:hyperlink r:id="rId24" w:tgtFrame="_blank" w:history="1">
        <w:r w:rsidRPr="00E10B7D">
          <w:rPr>
            <w:rFonts w:ascii="Helvetica Neue" w:eastAsia="Calibri" w:hAnsi="Helvetica Neue"/>
            <w:color w:val="990000"/>
            <w:sz w:val="21"/>
            <w:szCs w:val="21"/>
            <w:u w:val="single"/>
          </w:rPr>
          <w:t>https://policy.usc.edu/scampus-part-b/</w:t>
        </w:r>
      </w:hyperlink>
      <w:r w:rsidRPr="00E10B7D">
        <w:rPr>
          <w:rFonts w:ascii="Helvetica Neue" w:eastAsia="Calibri" w:hAnsi="Helvetica Neue"/>
          <w:color w:val="333333"/>
          <w:sz w:val="21"/>
          <w:szCs w:val="21"/>
        </w:rPr>
        <w:t xml:space="preserve">. Other forms of academic dishonesty are equally unacceptable. See additional information in </w:t>
      </w:r>
      <w:proofErr w:type="spellStart"/>
      <w:r w:rsidRPr="00E10B7D">
        <w:rPr>
          <w:rFonts w:ascii="Helvetica Neue" w:eastAsia="Calibri" w:hAnsi="Helvetica Neue"/>
          <w:color w:val="333333"/>
          <w:sz w:val="21"/>
          <w:szCs w:val="21"/>
        </w:rPr>
        <w:t>SCampus</w:t>
      </w:r>
      <w:proofErr w:type="spellEnd"/>
      <w:r w:rsidRPr="00E10B7D">
        <w:rPr>
          <w:rFonts w:ascii="Helvetica Neue" w:eastAsia="Calibri" w:hAnsi="Helvetica Neue"/>
          <w:color w:val="333333"/>
          <w:sz w:val="21"/>
          <w:szCs w:val="21"/>
        </w:rPr>
        <w:t xml:space="preserve"> and university policies on scientific misconduct, </w:t>
      </w:r>
      <w:hyperlink r:id="rId25" w:tgtFrame="_blank" w:history="1">
        <w:r w:rsidRPr="00E10B7D">
          <w:rPr>
            <w:rFonts w:ascii="Helvetica Neue" w:eastAsia="Calibri" w:hAnsi="Helvetica Neue"/>
            <w:color w:val="990000"/>
            <w:sz w:val="21"/>
            <w:szCs w:val="21"/>
            <w:u w:val="single"/>
          </w:rPr>
          <w:t>http://policy.usc.edu/scientific-misconduct</w:t>
        </w:r>
      </w:hyperlink>
      <w:r w:rsidRPr="00E10B7D">
        <w:rPr>
          <w:rFonts w:ascii="Helvetica Neue" w:eastAsia="Calibri" w:hAnsi="Helvetica Neue"/>
          <w:color w:val="333333"/>
          <w:sz w:val="21"/>
          <w:szCs w:val="21"/>
        </w:rPr>
        <w:t>.</w:t>
      </w:r>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b/>
          <w:bCs/>
          <w:color w:val="333333"/>
          <w:sz w:val="21"/>
          <w:szCs w:val="21"/>
        </w:rPr>
        <w:t>Support Systems:</w:t>
      </w:r>
      <w:r w:rsidRPr="00E10B7D">
        <w:rPr>
          <w:rFonts w:ascii="Helvetica Neue" w:eastAsia="Calibri" w:hAnsi="Helvetica Neue"/>
          <w:color w:val="333333"/>
          <w:sz w:val="21"/>
          <w:szCs w:val="21"/>
        </w:rPr>
        <w:t> </w:t>
      </w:r>
      <w:r w:rsidRPr="00E10B7D">
        <w:rPr>
          <w:rFonts w:ascii="Helvetica Neue" w:eastAsia="Calibri" w:hAnsi="Helvetica Neue"/>
          <w:color w:val="333333"/>
          <w:sz w:val="21"/>
          <w:szCs w:val="21"/>
        </w:rPr>
        <w:br/>
      </w:r>
      <w:r w:rsidRPr="00E10B7D">
        <w:rPr>
          <w:rFonts w:ascii="Helvetica Neue" w:eastAsia="Calibri" w:hAnsi="Helvetica Neue"/>
          <w:i/>
          <w:iCs/>
          <w:color w:val="333333"/>
          <w:sz w:val="21"/>
          <w:szCs w:val="21"/>
        </w:rPr>
        <w:t>Student Counseling Services (SCS) - (213) 740-7711 – 24/7 on call</w:t>
      </w:r>
      <w:r w:rsidRPr="00E10B7D">
        <w:rPr>
          <w:rFonts w:ascii="Helvetica Neue" w:eastAsia="Calibri" w:hAnsi="Helvetica Neue"/>
          <w:color w:val="333333"/>
          <w:sz w:val="21"/>
          <w:szCs w:val="21"/>
        </w:rPr>
        <w:br/>
        <w:t>Free and confidential mental health treatment for students, including short-term psychotherapy, group counseling, stress fitness workshops, and crisis intervention. </w:t>
      </w:r>
      <w:hyperlink r:id="rId26" w:tgtFrame="_blank" w:history="1">
        <w:r w:rsidRPr="00E10B7D">
          <w:rPr>
            <w:rFonts w:ascii="Helvetica Neue" w:eastAsia="Calibri" w:hAnsi="Helvetica Neue"/>
            <w:color w:val="990000"/>
            <w:sz w:val="21"/>
            <w:szCs w:val="21"/>
            <w:u w:val="single"/>
          </w:rPr>
          <w:t>https://engemannshc.usc.edu/counseling/</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National Suicide Prevention Lifeline - 1-800-273-8255</w:t>
      </w:r>
      <w:r w:rsidRPr="00E10B7D">
        <w:rPr>
          <w:rFonts w:ascii="Helvetica Neue" w:eastAsia="Calibri" w:hAnsi="Helvetica Neue"/>
          <w:color w:val="333333"/>
          <w:sz w:val="21"/>
          <w:szCs w:val="21"/>
        </w:rPr>
        <w:br/>
        <w:t>Provides free and confidential emotional support to people in suicidal crisis or emotional distress 24 hours a day, 7 days a week. </w:t>
      </w:r>
      <w:hyperlink r:id="rId27" w:tgtFrame="_blank" w:history="1">
        <w:r w:rsidRPr="00E10B7D">
          <w:rPr>
            <w:rFonts w:ascii="Helvetica Neue" w:eastAsia="Calibri" w:hAnsi="Helvetica Neue"/>
            <w:color w:val="990000"/>
            <w:sz w:val="21"/>
            <w:szCs w:val="21"/>
            <w:u w:val="single"/>
          </w:rPr>
          <w:t>http://www.suicidepreventionlifeline.org</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Relationship and Sexual Violence Prevention Services (RSVP) - (213) 740-4900 - 24/7 on call</w:t>
      </w:r>
      <w:r w:rsidRPr="00E10B7D">
        <w:rPr>
          <w:rFonts w:ascii="Helvetica Neue" w:eastAsia="Calibri" w:hAnsi="Helvetica Neue"/>
          <w:color w:val="333333"/>
          <w:sz w:val="21"/>
          <w:szCs w:val="21"/>
        </w:rPr>
        <w:br/>
        <w:t>Free and confidential therapy services, workshops, and training for situations related to gender-based harm. </w:t>
      </w:r>
      <w:hyperlink r:id="rId28" w:tgtFrame="_blank" w:history="1">
        <w:r w:rsidRPr="00E10B7D">
          <w:rPr>
            <w:rFonts w:ascii="Helvetica Neue" w:eastAsia="Calibri" w:hAnsi="Helvetica Neue"/>
            <w:color w:val="990000"/>
            <w:sz w:val="21"/>
            <w:szCs w:val="21"/>
            <w:u w:val="single"/>
          </w:rPr>
          <w:t>https://engemannshc.usc.edu/rsvp/</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Sexual Assault Resource Center</w:t>
      </w:r>
      <w:r w:rsidRPr="00E10B7D">
        <w:rPr>
          <w:rFonts w:ascii="Helvetica Neue" w:eastAsia="Calibri" w:hAnsi="Helvetica Neue"/>
          <w:color w:val="333333"/>
          <w:sz w:val="21"/>
          <w:szCs w:val="21"/>
        </w:rPr>
        <w:br/>
        <w:t>For more information about how to get help or help a survivor, rights, reporting options, and additional resources, visit the website: </w:t>
      </w:r>
      <w:hyperlink r:id="rId29" w:tgtFrame="_blank" w:history="1">
        <w:r w:rsidRPr="00E10B7D">
          <w:rPr>
            <w:rFonts w:ascii="Helvetica Neue" w:eastAsia="Calibri" w:hAnsi="Helvetica Neue"/>
            <w:color w:val="990000"/>
            <w:sz w:val="21"/>
            <w:szCs w:val="21"/>
            <w:u w:val="single"/>
          </w:rPr>
          <w:t>http://sarc.usc.edu/</w:t>
        </w:r>
      </w:hyperlink>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Office of Equity and Diversity (OED)/Title IX compliance – (213) 740-5086</w:t>
      </w:r>
      <w:r w:rsidRPr="00E10B7D">
        <w:rPr>
          <w:rFonts w:ascii="Helvetica Neue" w:eastAsia="Calibri" w:hAnsi="Helvetica Neue"/>
          <w:color w:val="333333"/>
          <w:sz w:val="21"/>
          <w:szCs w:val="21"/>
        </w:rPr>
        <w:br/>
        <w:t>Works with faculty, staff, visitors, applicants, and students around issues of protected class. </w:t>
      </w:r>
      <w:hyperlink r:id="rId30" w:tgtFrame="_blank" w:history="1">
        <w:r w:rsidRPr="00E10B7D">
          <w:rPr>
            <w:rFonts w:ascii="Helvetica Neue" w:eastAsia="Calibri" w:hAnsi="Helvetica Neue"/>
            <w:color w:val="990000"/>
            <w:sz w:val="21"/>
            <w:szCs w:val="21"/>
            <w:u w:val="single"/>
          </w:rPr>
          <w:t>https://equity.usc.edu/</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Bias Assessment Response and Support</w:t>
      </w:r>
      <w:r w:rsidRPr="00E10B7D">
        <w:rPr>
          <w:rFonts w:ascii="Helvetica Neue" w:eastAsia="Calibri" w:hAnsi="Helvetica Neue"/>
          <w:color w:val="333333"/>
          <w:sz w:val="21"/>
          <w:szCs w:val="21"/>
        </w:rPr>
        <w:br/>
        <w:t>Incidents of bias, hate crimes and microaggressions need to be reported allowing for appropriate investigation and response. </w:t>
      </w:r>
      <w:hyperlink r:id="rId31" w:tgtFrame="_blank" w:history="1">
        <w:r w:rsidRPr="00E10B7D">
          <w:rPr>
            <w:rFonts w:ascii="Helvetica Neue" w:eastAsia="Calibri" w:hAnsi="Helvetica Neue"/>
            <w:color w:val="990000"/>
            <w:sz w:val="21"/>
            <w:szCs w:val="21"/>
            <w:u w:val="single"/>
          </w:rPr>
          <w:t>https://studentaffairs.usc.edu/bias-assessment-response-support/</w:t>
        </w:r>
      </w:hyperlink>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lastRenderedPageBreak/>
        <w:t>The Office of Disability Services and Programs</w:t>
      </w:r>
      <w:r w:rsidRPr="00E10B7D">
        <w:rPr>
          <w:rFonts w:ascii="Helvetica Neue" w:eastAsia="Calibri" w:hAnsi="Helvetica Neue"/>
          <w:color w:val="333333"/>
          <w:sz w:val="21"/>
          <w:szCs w:val="21"/>
        </w:rPr>
        <w:t> </w:t>
      </w:r>
      <w:r w:rsidRPr="00E10B7D">
        <w:rPr>
          <w:rFonts w:ascii="Helvetica Neue" w:eastAsia="Calibri" w:hAnsi="Helvetica Neue"/>
          <w:color w:val="333333"/>
          <w:sz w:val="21"/>
          <w:szCs w:val="21"/>
        </w:rPr>
        <w:br/>
        <w:t>Provides certification for students with disabilities and helps arrange relevant accommodations. </w:t>
      </w:r>
      <w:hyperlink r:id="rId32" w:tgtFrame="_blank" w:history="1">
        <w:r w:rsidRPr="00E10B7D">
          <w:rPr>
            <w:rFonts w:ascii="Helvetica Neue" w:eastAsia="Calibri" w:hAnsi="Helvetica Neue"/>
            <w:color w:val="990000"/>
            <w:sz w:val="21"/>
            <w:szCs w:val="21"/>
            <w:u w:val="single"/>
          </w:rPr>
          <w:t>http://dsp.usc.edu</w:t>
        </w:r>
      </w:hyperlink>
    </w:p>
    <w:p w:rsidR="00E10B7D" w:rsidRPr="00E10B7D" w:rsidRDefault="00E10B7D" w:rsidP="00E10B7D">
      <w:pPr>
        <w:rPr>
          <w:rFonts w:ascii="Helvetica Neue" w:hAnsi="Helvetica Neue"/>
          <w:color w:val="333333"/>
          <w:sz w:val="21"/>
          <w:szCs w:val="21"/>
        </w:rPr>
      </w:pPr>
    </w:p>
    <w:p w:rsidR="00E10B7D" w:rsidRDefault="00E10B7D" w:rsidP="00E10B7D">
      <w:pPr>
        <w:spacing w:after="300"/>
        <w:rPr>
          <w:rFonts w:ascii="Helvetica Neue" w:eastAsia="Calibri" w:hAnsi="Helvetica Neue"/>
          <w:i/>
          <w:iCs/>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Student Support and Advocacy – (213) 821-4710</w:t>
      </w:r>
      <w:r w:rsidRPr="00E10B7D">
        <w:rPr>
          <w:rFonts w:ascii="Helvetica Neue" w:eastAsia="Calibri" w:hAnsi="Helvetica Neue"/>
          <w:color w:val="333333"/>
          <w:sz w:val="21"/>
          <w:szCs w:val="21"/>
        </w:rPr>
        <w:br/>
        <w:t>Assists students and families in resolving complex issues adversely affecting their success as a student EX: personal, financial, and academic. </w:t>
      </w:r>
      <w:hyperlink r:id="rId33" w:tgtFrame="_blank" w:history="1">
        <w:r w:rsidRPr="00E10B7D">
          <w:rPr>
            <w:rFonts w:ascii="Helvetica Neue" w:eastAsia="Calibri" w:hAnsi="Helvetica Neue"/>
            <w:color w:val="990000"/>
            <w:sz w:val="21"/>
            <w:szCs w:val="21"/>
            <w:u w:val="single"/>
          </w:rPr>
          <w:t>https://studentaffairs.usc.edu/ssa/</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Diversity at USC</w:t>
      </w:r>
      <w:r w:rsidRPr="00E10B7D">
        <w:rPr>
          <w:rFonts w:ascii="Helvetica Neue" w:eastAsia="Calibri" w:hAnsi="Helvetica Neue"/>
          <w:color w:val="333333"/>
          <w:sz w:val="21"/>
          <w:szCs w:val="21"/>
        </w:rPr>
        <w:t> </w:t>
      </w:r>
      <w:r w:rsidRPr="00E10B7D">
        <w:rPr>
          <w:rFonts w:ascii="Helvetica Neue" w:eastAsia="Calibri" w:hAnsi="Helvetica Neue"/>
          <w:color w:val="333333"/>
          <w:sz w:val="21"/>
          <w:szCs w:val="21"/>
        </w:rPr>
        <w:br/>
        <w:t>Information on events, programs and training, the Diversity Task Force (including representatives for each school), chronology, participation, and various resources for students. </w:t>
      </w:r>
      <w:hyperlink r:id="rId34" w:tgtFrame="_blank" w:history="1">
        <w:r w:rsidRPr="00E10B7D">
          <w:rPr>
            <w:rFonts w:ascii="Helvetica Neue" w:eastAsia="Calibri" w:hAnsi="Helvetica Neue"/>
            <w:color w:val="990000"/>
            <w:sz w:val="21"/>
            <w:szCs w:val="21"/>
            <w:u w:val="single"/>
          </w:rPr>
          <w:t>https://diversity.usc.edu/</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USC Emergency Information</w:t>
      </w:r>
      <w:r w:rsidRPr="00E10B7D">
        <w:rPr>
          <w:rFonts w:ascii="Helvetica Neue" w:eastAsia="Calibri" w:hAnsi="Helvetica Neue"/>
          <w:color w:val="333333"/>
          <w:sz w:val="21"/>
          <w:szCs w:val="21"/>
        </w:rPr>
        <w:br/>
        <w:t>Provides safety and other updates, including ways in which instruction will be continued if an officially declared emergency makes travel to campus infeasible, </w:t>
      </w:r>
      <w:hyperlink r:id="rId35" w:tgtFrame="_blank" w:history="1">
        <w:r w:rsidRPr="00E10B7D">
          <w:rPr>
            <w:rFonts w:ascii="Helvetica Neue" w:eastAsia="Calibri" w:hAnsi="Helvetica Neue"/>
            <w:color w:val="990000"/>
            <w:sz w:val="21"/>
            <w:szCs w:val="21"/>
            <w:u w:val="single"/>
          </w:rPr>
          <w:t>http://emergency.usc.edu</w:t>
        </w:r>
      </w:hyperlink>
    </w:p>
    <w:p w:rsidR="00E10B7D" w:rsidRPr="00E10B7D" w:rsidRDefault="00E10B7D" w:rsidP="00E10B7D">
      <w:pPr>
        <w:spacing w:after="150"/>
        <w:rPr>
          <w:rFonts w:ascii="Helvetica Neue" w:eastAsia="Calibri" w:hAnsi="Helvetica Neue"/>
          <w:color w:val="333333"/>
          <w:sz w:val="21"/>
          <w:szCs w:val="21"/>
        </w:rPr>
      </w:pPr>
      <w:r w:rsidRPr="00E10B7D">
        <w:rPr>
          <w:rFonts w:ascii="Helvetica Neue" w:eastAsia="Calibri" w:hAnsi="Helvetica Neue"/>
          <w:i/>
          <w:iCs/>
          <w:color w:val="333333"/>
          <w:sz w:val="21"/>
          <w:szCs w:val="21"/>
        </w:rPr>
        <w:t>USC Department of Public Safety – 213-740-4321 (UPC) and 323-442-1000 (HSC) for 24-hour emergency assistance or to report a crime</w:t>
      </w:r>
      <w:r w:rsidRPr="00E10B7D">
        <w:rPr>
          <w:rFonts w:ascii="Helvetica Neue" w:eastAsia="Calibri" w:hAnsi="Helvetica Neue"/>
          <w:color w:val="333333"/>
          <w:sz w:val="21"/>
          <w:szCs w:val="21"/>
        </w:rPr>
        <w:br/>
        <w:t>Provides overall safety to USC community. </w:t>
      </w:r>
      <w:hyperlink r:id="rId36" w:tgtFrame="_blank" w:history="1">
        <w:r w:rsidRPr="00E10B7D">
          <w:rPr>
            <w:rFonts w:ascii="Helvetica Neue" w:eastAsia="Calibri" w:hAnsi="Helvetica Neue"/>
            <w:color w:val="990000"/>
            <w:sz w:val="21"/>
            <w:szCs w:val="21"/>
            <w:u w:val="single"/>
          </w:rPr>
          <w:t>http://dps.usc.edu</w:t>
        </w:r>
      </w:hyperlink>
    </w:p>
    <w:p w:rsidR="00E10B7D" w:rsidRPr="00E10B7D" w:rsidRDefault="00E10B7D" w:rsidP="00E10B7D">
      <w:pPr>
        <w:spacing w:after="240"/>
        <w:rPr>
          <w:rFonts w:cs="Arial"/>
          <w:szCs w:val="24"/>
        </w:rPr>
      </w:pPr>
    </w:p>
    <w:p w:rsidR="00E10B7D" w:rsidRPr="00E10B7D" w:rsidRDefault="00E10B7D" w:rsidP="00E10B7D">
      <w:pPr>
        <w:spacing w:after="240"/>
        <w:rPr>
          <w:rFonts w:cs="Arial"/>
          <w:szCs w:val="24"/>
        </w:rPr>
      </w:pPr>
      <w:r w:rsidRPr="00E10B7D">
        <w:rPr>
          <w:rFonts w:cs="Arial"/>
          <w:szCs w:val="24"/>
        </w:rPr>
        <w:t>Additional Resources for VAC Students</w:t>
      </w:r>
    </w:p>
    <w:p w:rsidR="00E10B7D" w:rsidRPr="00E10B7D" w:rsidRDefault="00E10B7D" w:rsidP="00E10B7D">
      <w:pPr>
        <w:numPr>
          <w:ilvl w:val="0"/>
          <w:numId w:val="41"/>
        </w:numPr>
        <w:spacing w:after="240" w:line="259" w:lineRule="auto"/>
        <w:rPr>
          <w:bCs/>
        </w:rPr>
      </w:pPr>
      <w:r w:rsidRPr="00E10B7D">
        <w:rPr>
          <w:bCs/>
        </w:rPr>
        <w:t>For student support with VAC technology contact 1-877- 455-4679</w:t>
      </w:r>
    </w:p>
    <w:p w:rsidR="00E10B7D" w:rsidRPr="00E10B7D" w:rsidRDefault="00E10B7D" w:rsidP="00E10B7D">
      <w:pPr>
        <w:numPr>
          <w:ilvl w:val="0"/>
          <w:numId w:val="41"/>
        </w:numPr>
        <w:spacing w:after="240" w:line="259" w:lineRule="auto"/>
        <w:rPr>
          <w:rFonts w:cs="Arial"/>
          <w:b/>
        </w:rPr>
      </w:pPr>
      <w:r w:rsidRPr="00E10B7D">
        <w:rPr>
          <w:rFonts w:cs="Arial"/>
          <w:b/>
        </w:rPr>
        <w:t>For personal mental health support contact Perspectives 800-456-6327</w:t>
      </w:r>
    </w:p>
    <w:p w:rsidR="00E10B7D" w:rsidRPr="00D20FB5" w:rsidRDefault="00E10B7D" w:rsidP="008C298A">
      <w:pPr>
        <w:pStyle w:val="BodyText"/>
      </w:pPr>
    </w:p>
    <w:p w:rsidR="008C298A" w:rsidRDefault="008C298A" w:rsidP="00E10B7D">
      <w:pPr>
        <w:pStyle w:val="Heading1"/>
        <w:numPr>
          <w:ilvl w:val="0"/>
          <w:numId w:val="0"/>
        </w:numPr>
        <w:ind w:left="360"/>
      </w:pPr>
      <w:r w:rsidRPr="003679AD">
        <w:t xml:space="preserve">Statement </w:t>
      </w:r>
      <w:r w:rsidR="00F4475E">
        <w:t>A</w:t>
      </w:r>
      <w:r w:rsidRPr="003679AD">
        <w:t>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E10B7D">
      <w:pPr>
        <w:pStyle w:val="Heading1"/>
        <w:numPr>
          <w:ilvl w:val="0"/>
          <w:numId w:val="0"/>
        </w:numPr>
        <w:ind w:left="360"/>
      </w:pPr>
      <w:r>
        <w:t xml:space="preserve">Policy on </w:t>
      </w:r>
      <w:r w:rsidRPr="004B1D77">
        <w:t>Late or Make</w:t>
      </w:r>
      <w:r w:rsidR="00F4475E">
        <w:t>u</w:t>
      </w:r>
      <w:r w:rsidRPr="004B1D77">
        <w:t>p Work</w:t>
      </w:r>
    </w:p>
    <w:p w:rsidR="008C298A" w:rsidRPr="00931F39" w:rsidRDefault="00613866" w:rsidP="008C298A">
      <w:pPr>
        <w:pStyle w:val="BodyText"/>
      </w:pPr>
      <w:r>
        <w:t>Assignments</w:t>
      </w:r>
      <w:r w:rsidR="008C298A" w:rsidRPr="00931F39">
        <w:t xml:space="preserve"> are due on the day and time specified.</w:t>
      </w:r>
      <w:r w:rsidR="00334D7A">
        <w:t xml:space="preserve"> </w:t>
      </w:r>
      <w:r w:rsidR="008C298A" w:rsidRPr="00931F39">
        <w:t>Extensions will be granted only for extenuating circumstances.</w:t>
      </w:r>
      <w:r w:rsidR="00334D7A">
        <w:t xml:space="preserve"> </w:t>
      </w:r>
      <w:r w:rsidR="008C298A" w:rsidRPr="00931F39">
        <w:t>If the paper is late without permission, the grade will be affected.</w:t>
      </w:r>
    </w:p>
    <w:p w:rsidR="008C298A" w:rsidRDefault="008C298A" w:rsidP="00E10B7D">
      <w:pPr>
        <w:pStyle w:val="Heading1"/>
        <w:numPr>
          <w:ilvl w:val="0"/>
          <w:numId w:val="0"/>
        </w:numPr>
        <w:ind w:left="360"/>
      </w:pPr>
      <w:r w:rsidRPr="004B1D77">
        <w:lastRenderedPageBreak/>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E10B7D" w:rsidRDefault="00E10B7D" w:rsidP="00E10B7D">
      <w:pPr>
        <w:pStyle w:val="Heading1"/>
        <w:numPr>
          <w:ilvl w:val="0"/>
          <w:numId w:val="0"/>
        </w:numPr>
        <w:ind w:left="360" w:hanging="360"/>
      </w:pPr>
    </w:p>
    <w:p w:rsidR="008C298A" w:rsidRDefault="008C298A" w:rsidP="00E10B7D">
      <w:pPr>
        <w:pStyle w:val="Heading1"/>
        <w:numPr>
          <w:ilvl w:val="0"/>
          <w:numId w:val="0"/>
        </w:numPr>
        <w:ind w:left="360" w:hanging="360"/>
      </w:pPr>
      <w:r w:rsidRPr="001E469F">
        <w:t xml:space="preserve">Code of Ethics of the National Association of Social </w:t>
      </w:r>
      <w:r w:rsidRPr="00F4475E">
        <w:t xml:space="preserve">Workers </w:t>
      </w:r>
    </w:p>
    <w:p w:rsidR="00E10B7D" w:rsidRPr="00E10B7D" w:rsidRDefault="00E10B7D" w:rsidP="00E10B7D">
      <w:pPr>
        <w:rPr>
          <w:rFonts w:ascii="Calibri" w:eastAsia="Calibri" w:hAnsi="Calibri"/>
          <w:color w:val="1F497D"/>
          <w:sz w:val="22"/>
          <w:szCs w:val="22"/>
        </w:rPr>
      </w:pPr>
      <w:r w:rsidRPr="00E10B7D">
        <w:rPr>
          <w:rFonts w:ascii="Calibri" w:eastAsia="Calibri" w:hAnsi="Calibri"/>
          <w:color w:val="1F497D"/>
          <w:sz w:val="22"/>
          <w:szCs w:val="22"/>
        </w:rPr>
        <w:t xml:space="preserve">On August 4, 2017, the NASW Delegate Assembly approved a substantive revision to the NASW Code of Ethics.  </w:t>
      </w:r>
      <w:hyperlink r:id="rId37" w:history="1">
        <w:r w:rsidRPr="00E10B7D">
          <w:rPr>
            <w:rFonts w:ascii="Calibri" w:eastAsia="Calibri" w:hAnsi="Calibri"/>
            <w:color w:val="0000FF"/>
            <w:sz w:val="22"/>
            <w:szCs w:val="22"/>
            <w:u w:val="single"/>
          </w:rPr>
          <w:t>https://www.socialworkers.org/LinkClick.aspx?fileticket=ms_ArtLqzeI%3d&amp;portalid=0</w:t>
        </w:r>
      </w:hyperlink>
    </w:p>
    <w:p w:rsidR="00E10B7D" w:rsidRPr="00E10B7D" w:rsidRDefault="00E10B7D" w:rsidP="00E10B7D">
      <w:pPr>
        <w:pStyle w:val="BodyText"/>
      </w:pP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E634BD" w:rsidRDefault="008C298A" w:rsidP="00E10B7D">
      <w:pPr>
        <w:pStyle w:val="Heading1"/>
        <w:numPr>
          <w:ilvl w:val="0"/>
          <w:numId w:val="0"/>
        </w:numPr>
        <w:ind w:left="360"/>
      </w:pPr>
      <w:r w:rsidRPr="001E469F">
        <w:t>Complaints</w:t>
      </w:r>
    </w:p>
    <w:p w:rsidR="00D2448E" w:rsidRPr="00C4565E" w:rsidRDefault="00E634BD" w:rsidP="00D2448E">
      <w:pPr>
        <w:spacing w:after="240"/>
        <w:rPr>
          <w:rFonts w:cs="Arial"/>
          <w:szCs w:val="24"/>
        </w:rPr>
      </w:pPr>
      <w:r w:rsidRPr="00AA7EFD">
        <w:rPr>
          <w:rFonts w:cs="Arial"/>
          <w:szCs w:val="24"/>
        </w:rPr>
        <w:t xml:space="preserve">If you have a complaint or concern about the course or the instructor, please discuss it first with the instructor. If you feel cannot discuss it with the instructor, contact your </w:t>
      </w:r>
      <w:r>
        <w:rPr>
          <w:rFonts w:cs="Arial"/>
          <w:szCs w:val="24"/>
        </w:rPr>
        <w:t xml:space="preserve">student support advisor and if you </w:t>
      </w:r>
      <w:r>
        <w:rPr>
          <w:rFonts w:cs="Arial"/>
          <w:szCs w:val="24"/>
        </w:rPr>
        <w:lastRenderedPageBreak/>
        <w:t xml:space="preserve">need further guidance, </w:t>
      </w:r>
      <w:r w:rsidR="00D2448E">
        <w:rPr>
          <w:rFonts w:cs="Arial"/>
          <w:szCs w:val="24"/>
        </w:rPr>
        <w:t>Marleen Wong, PhD, LCSW</w:t>
      </w:r>
      <w:r w:rsidR="00334D7A">
        <w:rPr>
          <w:rFonts w:cs="Arial"/>
          <w:szCs w:val="24"/>
        </w:rPr>
        <w:t xml:space="preserve"> </w:t>
      </w:r>
      <w:r w:rsidR="00D2448E">
        <w:rPr>
          <w:rFonts w:cs="Arial"/>
          <w:szCs w:val="24"/>
        </w:rPr>
        <w:t>- Senior</w:t>
      </w:r>
      <w:r w:rsidR="00334D7A">
        <w:rPr>
          <w:rFonts w:cs="Arial"/>
          <w:szCs w:val="24"/>
        </w:rPr>
        <w:t xml:space="preserve"> </w:t>
      </w:r>
      <w:r w:rsidR="00D2448E" w:rsidRPr="00F6773D">
        <w:rPr>
          <w:rFonts w:cs="Arial"/>
          <w:szCs w:val="24"/>
        </w:rPr>
        <w:t>Associate Dean and Clinical Professor</w:t>
      </w:r>
      <w:r w:rsidR="00D2448E">
        <w:rPr>
          <w:rFonts w:cs="Arial"/>
          <w:szCs w:val="24"/>
        </w:rPr>
        <w:t>. -</w:t>
      </w:r>
      <w:r w:rsidR="00D2448E" w:rsidRPr="00F6773D">
        <w:rPr>
          <w:rFonts w:cs="Arial"/>
          <w:szCs w:val="24"/>
        </w:rPr>
        <w:t>Director of Field Education</w:t>
      </w:r>
      <w:r w:rsidR="00D2448E">
        <w:rPr>
          <w:rFonts w:cs="Arial"/>
          <w:szCs w:val="24"/>
        </w:rPr>
        <w:t xml:space="preserve">. She can be reached at </w:t>
      </w:r>
      <w:hyperlink r:id="rId38" w:history="1">
        <w:r w:rsidR="00D2448E" w:rsidRPr="004700BE">
          <w:rPr>
            <w:rStyle w:val="Hyperlink"/>
            <w:rFonts w:cs="Arial"/>
            <w:szCs w:val="24"/>
          </w:rPr>
          <w:t>marleenw@usc.edu</w:t>
        </w:r>
      </w:hyperlink>
      <w:r w:rsidR="00D2448E">
        <w:rPr>
          <w:rFonts w:cs="Arial"/>
          <w:szCs w:val="24"/>
        </w:rPr>
        <w:t xml:space="preserve"> or 213-740-0840.</w:t>
      </w:r>
    </w:p>
    <w:p w:rsidR="00E634BD" w:rsidRPr="00E634BD" w:rsidRDefault="00E634BD" w:rsidP="00D2448E">
      <w:pPr>
        <w:spacing w:after="240"/>
      </w:pPr>
    </w:p>
    <w:p w:rsidR="008C298A" w:rsidRPr="00E634BD" w:rsidRDefault="008C298A" w:rsidP="00E10B7D">
      <w:pPr>
        <w:pStyle w:val="Heading1"/>
        <w:numPr>
          <w:ilvl w:val="0"/>
          <w:numId w:val="0"/>
        </w:numPr>
        <w:ind w:left="360"/>
        <w:rPr>
          <w:color w:val="FF0000"/>
        </w:rPr>
      </w:pPr>
      <w:r w:rsidRPr="00DA1F11">
        <w:t xml:space="preserve">Tips for Maximizing Your Learning Experience in </w:t>
      </w:r>
      <w:r w:rsidR="00F4475E">
        <w:t>T</w:t>
      </w:r>
      <w:r w:rsidRPr="00DA1F11">
        <w:t xml:space="preserve">his </w:t>
      </w:r>
      <w:r w:rsidRPr="00F4475E">
        <w:t>Course</w:t>
      </w:r>
      <w:r w:rsidR="005D779C" w:rsidRPr="00F4475E">
        <w:t xml:space="preserve"> </w:t>
      </w:r>
      <w:r w:rsidR="005D779C" w:rsidRPr="00E11CB9">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334D7A">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EF5B74" w:rsidRDefault="008C298A" w:rsidP="0006241B">
      <w:pPr>
        <w:pStyle w:val="DONOTbullet"/>
        <w:numPr>
          <w:ilvl w:val="0"/>
          <w:numId w:val="0"/>
        </w:numPr>
        <w:pBdr>
          <w:top w:val="single" w:sz="8" w:space="1" w:color="C0504D"/>
          <w:bottom w:val="single" w:sz="8" w:space="1" w:color="C0504D"/>
        </w:pBdr>
        <w:ind w:left="360"/>
        <w:jc w:val="center"/>
        <w:rPr>
          <w:b/>
          <w:i/>
        </w:rPr>
      </w:pPr>
      <w:r w:rsidRPr="00EF5B74">
        <w:rPr>
          <w:b/>
          <w:i/>
        </w:rPr>
        <w:t>Don’t procrastinate or postpone working on assignments.</w:t>
      </w:r>
    </w:p>
    <w:p w:rsidR="008C298A" w:rsidRPr="00A552ED" w:rsidRDefault="008C298A" w:rsidP="008C298A">
      <w:pPr>
        <w:pStyle w:val="BodyText"/>
      </w:pPr>
    </w:p>
    <w:sectPr w:rsidR="008C298A" w:rsidRPr="00A552ED"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52" w:rsidRDefault="00D80C52" w:rsidP="00500EB5">
      <w:r>
        <w:separator/>
      </w:r>
    </w:p>
  </w:endnote>
  <w:endnote w:type="continuationSeparator" w:id="0">
    <w:p w:rsidR="00D80C52" w:rsidRDefault="00D80C5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D2" w:rsidRDefault="00477ED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Social Work 698B Syllabus  FALL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16</w:t>
    </w:r>
    <w:r>
      <w:rPr>
        <w:rFonts w:cs="Arial"/>
        <w:color w:val="800000"/>
      </w:rPr>
      <w:fldChar w:fldCharType="end"/>
    </w:r>
  </w:p>
  <w:p w:rsidR="00477ED2" w:rsidRDefault="00477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D2" w:rsidRPr="00B54ABC" w:rsidRDefault="00477ED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477ED2" w:rsidRPr="00B54ABC" w:rsidRDefault="00477ED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D2" w:rsidRPr="00B54ABC" w:rsidRDefault="00477ED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477ED2" w:rsidRPr="00B54ABC" w:rsidRDefault="00477ED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52" w:rsidRDefault="00D80C52" w:rsidP="00500EB5">
      <w:r>
        <w:separator/>
      </w:r>
    </w:p>
  </w:footnote>
  <w:footnote w:type="continuationSeparator" w:id="0">
    <w:p w:rsidR="00D80C52" w:rsidRDefault="00D80C5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D2" w:rsidRDefault="00477ED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D2" w:rsidRPr="00B65CE9" w:rsidRDefault="00477ED2"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58C49DD8" wp14:editId="09E85997">
          <wp:extent cx="5944235" cy="944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44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D2" w:rsidRDefault="00477ED2" w:rsidP="00A552ED">
    <w:pPr>
      <w:pStyle w:val="Header"/>
      <w:ind w:left="-540"/>
    </w:pPr>
    <w:r>
      <w:rPr>
        <w:noProof/>
      </w:rPr>
      <w:drawing>
        <wp:inline distT="0" distB="0" distL="0" distR="0" wp14:anchorId="31C19B78" wp14:editId="6B762B79">
          <wp:extent cx="5944235" cy="944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CBD21398_0000[1]"/>
      </v:shape>
    </w:pict>
  </w:numPicBullet>
  <w:numPicBullet w:numPicBulletId="1">
    <w:pict>
      <v:shape id="_x0000_i1084" type="#_x0000_t75" style="width:13.5pt;height:13.5pt" o:bullet="t">
        <v:imagedata r:id="rId2" o:title="MCBD21329_0000[1]"/>
      </v:shape>
    </w:pict>
  </w:numPicBullet>
  <w:numPicBullet w:numPicBulletId="2">
    <w:pict>
      <v:shape id="_x0000_i1085"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11"/>
  </w:num>
  <w:num w:numId="5">
    <w:abstractNumId w:val="20"/>
  </w:num>
  <w:num w:numId="6">
    <w:abstractNumId w:val="13"/>
  </w:num>
  <w:num w:numId="7">
    <w:abstractNumId w:val="31"/>
  </w:num>
  <w:num w:numId="8">
    <w:abstractNumId w:val="3"/>
  </w:num>
  <w:num w:numId="9">
    <w:abstractNumId w:val="16"/>
  </w:num>
  <w:num w:numId="10">
    <w:abstractNumId w:val="30"/>
  </w:num>
  <w:num w:numId="11">
    <w:abstractNumId w:val="31"/>
    <w:lvlOverride w:ilvl="0">
      <w:startOverride w:val="1"/>
    </w:lvlOverride>
  </w:num>
  <w:num w:numId="12">
    <w:abstractNumId w:val="31"/>
    <w:lvlOverride w:ilvl="0">
      <w:startOverride w:val="1"/>
    </w:lvlOverride>
  </w:num>
  <w:num w:numId="13">
    <w:abstractNumId w:val="31"/>
    <w:lvlOverride w:ilvl="0">
      <w:startOverride w:val="2"/>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2"/>
    </w:lvlOverride>
  </w:num>
  <w:num w:numId="17">
    <w:abstractNumId w:val="31"/>
    <w:lvlOverride w:ilvl="0">
      <w:startOverride w:val="3"/>
    </w:lvlOverride>
  </w:num>
  <w:num w:numId="18">
    <w:abstractNumId w:val="10"/>
  </w:num>
  <w:num w:numId="19">
    <w:abstractNumId w:val="0"/>
  </w:num>
  <w:num w:numId="20">
    <w:abstractNumId w:val="26"/>
  </w:num>
  <w:num w:numId="21">
    <w:abstractNumId w:val="21"/>
  </w:num>
  <w:num w:numId="22">
    <w:abstractNumId w:val="2"/>
  </w:num>
  <w:num w:numId="23">
    <w:abstractNumId w:val="5"/>
  </w:num>
  <w:num w:numId="24">
    <w:abstractNumId w:val="27"/>
  </w:num>
  <w:num w:numId="25">
    <w:abstractNumId w:val="24"/>
  </w:num>
  <w:num w:numId="26">
    <w:abstractNumId w:val="4"/>
  </w:num>
  <w:num w:numId="27">
    <w:abstractNumId w:val="29"/>
  </w:num>
  <w:num w:numId="28">
    <w:abstractNumId w:val="1"/>
  </w:num>
  <w:num w:numId="29">
    <w:abstractNumId w:val="18"/>
  </w:num>
  <w:num w:numId="30">
    <w:abstractNumId w:val="23"/>
  </w:num>
  <w:num w:numId="31">
    <w:abstractNumId w:val="19"/>
  </w:num>
  <w:num w:numId="32">
    <w:abstractNumId w:val="19"/>
  </w:num>
  <w:num w:numId="33">
    <w:abstractNumId w:val="9"/>
  </w:num>
  <w:num w:numId="34">
    <w:abstractNumId w:val="6"/>
  </w:num>
  <w:num w:numId="35">
    <w:abstractNumId w:val="25"/>
  </w:num>
  <w:num w:numId="36">
    <w:abstractNumId w:val="22"/>
  </w:num>
  <w:num w:numId="37">
    <w:abstractNumId w:val="8"/>
  </w:num>
  <w:num w:numId="3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7"/>
  </w:num>
  <w:num w:numId="4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11505"/>
    <w:rsid w:val="00012030"/>
    <w:rsid w:val="000243AF"/>
    <w:rsid w:val="000420B2"/>
    <w:rsid w:val="00044E7D"/>
    <w:rsid w:val="0006241B"/>
    <w:rsid w:val="0006332E"/>
    <w:rsid w:val="0006363C"/>
    <w:rsid w:val="000659A4"/>
    <w:rsid w:val="00066771"/>
    <w:rsid w:val="00070EB1"/>
    <w:rsid w:val="000731DF"/>
    <w:rsid w:val="0007380F"/>
    <w:rsid w:val="00073FC1"/>
    <w:rsid w:val="00081C83"/>
    <w:rsid w:val="00087D43"/>
    <w:rsid w:val="00087E81"/>
    <w:rsid w:val="00090810"/>
    <w:rsid w:val="00090904"/>
    <w:rsid w:val="00091211"/>
    <w:rsid w:val="000921FD"/>
    <w:rsid w:val="0009293D"/>
    <w:rsid w:val="000B2A7B"/>
    <w:rsid w:val="000B372A"/>
    <w:rsid w:val="000B6065"/>
    <w:rsid w:val="000C0865"/>
    <w:rsid w:val="000D3CFC"/>
    <w:rsid w:val="000D4EB9"/>
    <w:rsid w:val="000D5CC8"/>
    <w:rsid w:val="000E0988"/>
    <w:rsid w:val="000E46FE"/>
    <w:rsid w:val="000E4996"/>
    <w:rsid w:val="000E536D"/>
    <w:rsid w:val="000F01E3"/>
    <w:rsid w:val="000F2225"/>
    <w:rsid w:val="000F67A4"/>
    <w:rsid w:val="001154EE"/>
    <w:rsid w:val="00115B39"/>
    <w:rsid w:val="00121549"/>
    <w:rsid w:val="001263D8"/>
    <w:rsid w:val="0013194A"/>
    <w:rsid w:val="00131A62"/>
    <w:rsid w:val="00145CDD"/>
    <w:rsid w:val="00147320"/>
    <w:rsid w:val="00152A19"/>
    <w:rsid w:val="00156B12"/>
    <w:rsid w:val="00157423"/>
    <w:rsid w:val="001625C0"/>
    <w:rsid w:val="001631CE"/>
    <w:rsid w:val="0016662D"/>
    <w:rsid w:val="00170657"/>
    <w:rsid w:val="001708B7"/>
    <w:rsid w:val="001744B8"/>
    <w:rsid w:val="001768E5"/>
    <w:rsid w:val="00180CE0"/>
    <w:rsid w:val="00190279"/>
    <w:rsid w:val="00197918"/>
    <w:rsid w:val="001A25B6"/>
    <w:rsid w:val="001A4DB9"/>
    <w:rsid w:val="001A787B"/>
    <w:rsid w:val="001B03E2"/>
    <w:rsid w:val="001C345C"/>
    <w:rsid w:val="001C3B38"/>
    <w:rsid w:val="001D09BE"/>
    <w:rsid w:val="001D1FA8"/>
    <w:rsid w:val="001D5EE1"/>
    <w:rsid w:val="001D67BB"/>
    <w:rsid w:val="001D73F3"/>
    <w:rsid w:val="001E02F6"/>
    <w:rsid w:val="001E469F"/>
    <w:rsid w:val="001E65E0"/>
    <w:rsid w:val="001F38C0"/>
    <w:rsid w:val="001F60F9"/>
    <w:rsid w:val="002051AA"/>
    <w:rsid w:val="002063D0"/>
    <w:rsid w:val="0021255E"/>
    <w:rsid w:val="00212FDF"/>
    <w:rsid w:val="002206AA"/>
    <w:rsid w:val="00220989"/>
    <w:rsid w:val="00221206"/>
    <w:rsid w:val="00222B84"/>
    <w:rsid w:val="002240E9"/>
    <w:rsid w:val="00226F06"/>
    <w:rsid w:val="002317BD"/>
    <w:rsid w:val="00231D7E"/>
    <w:rsid w:val="002438BA"/>
    <w:rsid w:val="002504DF"/>
    <w:rsid w:val="002527F9"/>
    <w:rsid w:val="002529A6"/>
    <w:rsid w:val="00255381"/>
    <w:rsid w:val="002555F8"/>
    <w:rsid w:val="00274F80"/>
    <w:rsid w:val="00277634"/>
    <w:rsid w:val="00277794"/>
    <w:rsid w:val="002A41FD"/>
    <w:rsid w:val="002A4373"/>
    <w:rsid w:val="002A790D"/>
    <w:rsid w:val="002A7A36"/>
    <w:rsid w:val="002B23DD"/>
    <w:rsid w:val="002B4F8E"/>
    <w:rsid w:val="002B5354"/>
    <w:rsid w:val="002C3E5E"/>
    <w:rsid w:val="002C5BDF"/>
    <w:rsid w:val="002D0E67"/>
    <w:rsid w:val="002D7A3B"/>
    <w:rsid w:val="002E0310"/>
    <w:rsid w:val="002E401F"/>
    <w:rsid w:val="002F098F"/>
    <w:rsid w:val="002F4198"/>
    <w:rsid w:val="0031642F"/>
    <w:rsid w:val="00317B17"/>
    <w:rsid w:val="00322898"/>
    <w:rsid w:val="003254D4"/>
    <w:rsid w:val="00325D4C"/>
    <w:rsid w:val="00326F53"/>
    <w:rsid w:val="003337D0"/>
    <w:rsid w:val="00334D7A"/>
    <w:rsid w:val="00336D61"/>
    <w:rsid w:val="003372EE"/>
    <w:rsid w:val="003417E0"/>
    <w:rsid w:val="0034294D"/>
    <w:rsid w:val="0034728E"/>
    <w:rsid w:val="0035641A"/>
    <w:rsid w:val="00356838"/>
    <w:rsid w:val="00360890"/>
    <w:rsid w:val="00361E5F"/>
    <w:rsid w:val="003671E6"/>
    <w:rsid w:val="003679AD"/>
    <w:rsid w:val="003679B6"/>
    <w:rsid w:val="00370844"/>
    <w:rsid w:val="003817F0"/>
    <w:rsid w:val="003913EB"/>
    <w:rsid w:val="003946A4"/>
    <w:rsid w:val="00395885"/>
    <w:rsid w:val="00397488"/>
    <w:rsid w:val="003A28C4"/>
    <w:rsid w:val="003A2AE3"/>
    <w:rsid w:val="003A6290"/>
    <w:rsid w:val="003B0DC4"/>
    <w:rsid w:val="003C3C45"/>
    <w:rsid w:val="003C4020"/>
    <w:rsid w:val="003C57C3"/>
    <w:rsid w:val="003D3E97"/>
    <w:rsid w:val="003D5724"/>
    <w:rsid w:val="003D773E"/>
    <w:rsid w:val="003E550F"/>
    <w:rsid w:val="003E5C6F"/>
    <w:rsid w:val="003E7B57"/>
    <w:rsid w:val="003F5ABA"/>
    <w:rsid w:val="00400F7A"/>
    <w:rsid w:val="0040517F"/>
    <w:rsid w:val="00406A3F"/>
    <w:rsid w:val="00406B3F"/>
    <w:rsid w:val="0041076B"/>
    <w:rsid w:val="00412505"/>
    <w:rsid w:val="004172AF"/>
    <w:rsid w:val="0042208A"/>
    <w:rsid w:val="004256FF"/>
    <w:rsid w:val="00425BEE"/>
    <w:rsid w:val="00433C59"/>
    <w:rsid w:val="00444115"/>
    <w:rsid w:val="00445516"/>
    <w:rsid w:val="00446810"/>
    <w:rsid w:val="00450A77"/>
    <w:rsid w:val="00453AF3"/>
    <w:rsid w:val="0045419A"/>
    <w:rsid w:val="00462611"/>
    <w:rsid w:val="00473E5E"/>
    <w:rsid w:val="0047499B"/>
    <w:rsid w:val="00476044"/>
    <w:rsid w:val="00477ED2"/>
    <w:rsid w:val="00480B58"/>
    <w:rsid w:val="00482072"/>
    <w:rsid w:val="00483D5C"/>
    <w:rsid w:val="00491024"/>
    <w:rsid w:val="004919CF"/>
    <w:rsid w:val="00493130"/>
    <w:rsid w:val="004A0A5B"/>
    <w:rsid w:val="004A0DFB"/>
    <w:rsid w:val="004A1424"/>
    <w:rsid w:val="004A5DFD"/>
    <w:rsid w:val="004A7820"/>
    <w:rsid w:val="004B1C5E"/>
    <w:rsid w:val="004B1D77"/>
    <w:rsid w:val="004B32F4"/>
    <w:rsid w:val="004B5764"/>
    <w:rsid w:val="004B644D"/>
    <w:rsid w:val="004B73D5"/>
    <w:rsid w:val="004C6F9D"/>
    <w:rsid w:val="004D4762"/>
    <w:rsid w:val="004D7AF5"/>
    <w:rsid w:val="004E4F3C"/>
    <w:rsid w:val="004F0B0F"/>
    <w:rsid w:val="00500EB5"/>
    <w:rsid w:val="0050261A"/>
    <w:rsid w:val="00504452"/>
    <w:rsid w:val="00511D97"/>
    <w:rsid w:val="00515FED"/>
    <w:rsid w:val="0051647D"/>
    <w:rsid w:val="00521ADF"/>
    <w:rsid w:val="005444FA"/>
    <w:rsid w:val="005505F2"/>
    <w:rsid w:val="00555800"/>
    <w:rsid w:val="005600E1"/>
    <w:rsid w:val="00561ADD"/>
    <w:rsid w:val="00565D44"/>
    <w:rsid w:val="00572740"/>
    <w:rsid w:val="00575065"/>
    <w:rsid w:val="00575F57"/>
    <w:rsid w:val="0058101E"/>
    <w:rsid w:val="005810A0"/>
    <w:rsid w:val="00584363"/>
    <w:rsid w:val="00587029"/>
    <w:rsid w:val="0059105F"/>
    <w:rsid w:val="00591B7A"/>
    <w:rsid w:val="005943E8"/>
    <w:rsid w:val="00596266"/>
    <w:rsid w:val="005A442F"/>
    <w:rsid w:val="005A4446"/>
    <w:rsid w:val="005B4418"/>
    <w:rsid w:val="005B5EB5"/>
    <w:rsid w:val="005B6223"/>
    <w:rsid w:val="005B659B"/>
    <w:rsid w:val="005B72C0"/>
    <w:rsid w:val="005C3E17"/>
    <w:rsid w:val="005C6160"/>
    <w:rsid w:val="005C759E"/>
    <w:rsid w:val="005D147F"/>
    <w:rsid w:val="005D779C"/>
    <w:rsid w:val="005E152C"/>
    <w:rsid w:val="005F0D81"/>
    <w:rsid w:val="005F1DA5"/>
    <w:rsid w:val="005F2AC7"/>
    <w:rsid w:val="005F3422"/>
    <w:rsid w:val="005F3558"/>
    <w:rsid w:val="005F46F1"/>
    <w:rsid w:val="00604345"/>
    <w:rsid w:val="00606110"/>
    <w:rsid w:val="00612D07"/>
    <w:rsid w:val="00613866"/>
    <w:rsid w:val="006176EE"/>
    <w:rsid w:val="0062200D"/>
    <w:rsid w:val="00627A99"/>
    <w:rsid w:val="0063097C"/>
    <w:rsid w:val="00631301"/>
    <w:rsid w:val="00632F89"/>
    <w:rsid w:val="00634636"/>
    <w:rsid w:val="006370BA"/>
    <w:rsid w:val="00664DA1"/>
    <w:rsid w:val="00667234"/>
    <w:rsid w:val="00672F30"/>
    <w:rsid w:val="006743E8"/>
    <w:rsid w:val="006747F1"/>
    <w:rsid w:val="00676CF3"/>
    <w:rsid w:val="00682058"/>
    <w:rsid w:val="00691546"/>
    <w:rsid w:val="006A10F2"/>
    <w:rsid w:val="006C0DAE"/>
    <w:rsid w:val="006C40E3"/>
    <w:rsid w:val="006C68CB"/>
    <w:rsid w:val="006C718C"/>
    <w:rsid w:val="006D1669"/>
    <w:rsid w:val="006D6DBE"/>
    <w:rsid w:val="006E631E"/>
    <w:rsid w:val="006E7F62"/>
    <w:rsid w:val="006F5511"/>
    <w:rsid w:val="00700B78"/>
    <w:rsid w:val="00704E13"/>
    <w:rsid w:val="007077C7"/>
    <w:rsid w:val="007079C7"/>
    <w:rsid w:val="007111D4"/>
    <w:rsid w:val="00720F09"/>
    <w:rsid w:val="00724EB9"/>
    <w:rsid w:val="00725FBC"/>
    <w:rsid w:val="00726A3E"/>
    <w:rsid w:val="007302C5"/>
    <w:rsid w:val="0073244E"/>
    <w:rsid w:val="00735C22"/>
    <w:rsid w:val="007407C3"/>
    <w:rsid w:val="00741F98"/>
    <w:rsid w:val="00752280"/>
    <w:rsid w:val="00761428"/>
    <w:rsid w:val="00765CAE"/>
    <w:rsid w:val="007718E0"/>
    <w:rsid w:val="00773E48"/>
    <w:rsid w:val="007812CE"/>
    <w:rsid w:val="00791676"/>
    <w:rsid w:val="00797591"/>
    <w:rsid w:val="007A34C7"/>
    <w:rsid w:val="007B22FD"/>
    <w:rsid w:val="007B32E2"/>
    <w:rsid w:val="007B59A4"/>
    <w:rsid w:val="007C0A5E"/>
    <w:rsid w:val="007C3DF1"/>
    <w:rsid w:val="007C7D96"/>
    <w:rsid w:val="007D17CE"/>
    <w:rsid w:val="007D56D4"/>
    <w:rsid w:val="007E482B"/>
    <w:rsid w:val="007E4CDB"/>
    <w:rsid w:val="007E57B0"/>
    <w:rsid w:val="007F6DB1"/>
    <w:rsid w:val="007F73E3"/>
    <w:rsid w:val="008014DF"/>
    <w:rsid w:val="00810725"/>
    <w:rsid w:val="00816E2A"/>
    <w:rsid w:val="00817CA1"/>
    <w:rsid w:val="008226CF"/>
    <w:rsid w:val="00822AAD"/>
    <w:rsid w:val="00824969"/>
    <w:rsid w:val="00832463"/>
    <w:rsid w:val="008328CD"/>
    <w:rsid w:val="00832C19"/>
    <w:rsid w:val="00836D50"/>
    <w:rsid w:val="008435F6"/>
    <w:rsid w:val="00854E9E"/>
    <w:rsid w:val="00855462"/>
    <w:rsid w:val="00857FB6"/>
    <w:rsid w:val="0086141C"/>
    <w:rsid w:val="008618FE"/>
    <w:rsid w:val="00862333"/>
    <w:rsid w:val="00871AA3"/>
    <w:rsid w:val="00872835"/>
    <w:rsid w:val="00872CFF"/>
    <w:rsid w:val="008747AC"/>
    <w:rsid w:val="0087705E"/>
    <w:rsid w:val="00880923"/>
    <w:rsid w:val="0088267A"/>
    <w:rsid w:val="0088440A"/>
    <w:rsid w:val="008852BD"/>
    <w:rsid w:val="00887C7D"/>
    <w:rsid w:val="00892FE3"/>
    <w:rsid w:val="0089729E"/>
    <w:rsid w:val="008A7B6B"/>
    <w:rsid w:val="008B0ED3"/>
    <w:rsid w:val="008B2E7E"/>
    <w:rsid w:val="008B33DB"/>
    <w:rsid w:val="008C298A"/>
    <w:rsid w:val="008C365D"/>
    <w:rsid w:val="008C6CCD"/>
    <w:rsid w:val="008D0C9B"/>
    <w:rsid w:val="008D1454"/>
    <w:rsid w:val="008D6AA7"/>
    <w:rsid w:val="008F038F"/>
    <w:rsid w:val="008F1415"/>
    <w:rsid w:val="008F6DF7"/>
    <w:rsid w:val="009049C8"/>
    <w:rsid w:val="0091007D"/>
    <w:rsid w:val="00914381"/>
    <w:rsid w:val="00925F2A"/>
    <w:rsid w:val="00931D65"/>
    <w:rsid w:val="00931F39"/>
    <w:rsid w:val="00935AA8"/>
    <w:rsid w:val="00941545"/>
    <w:rsid w:val="00951984"/>
    <w:rsid w:val="0095485A"/>
    <w:rsid w:val="00954FDC"/>
    <w:rsid w:val="009728B8"/>
    <w:rsid w:val="0097473A"/>
    <w:rsid w:val="00974C7A"/>
    <w:rsid w:val="00975A59"/>
    <w:rsid w:val="00975D60"/>
    <w:rsid w:val="009869D5"/>
    <w:rsid w:val="00991413"/>
    <w:rsid w:val="00991F7D"/>
    <w:rsid w:val="00995B52"/>
    <w:rsid w:val="009964A2"/>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D5B"/>
    <w:rsid w:val="009F2336"/>
    <w:rsid w:val="009F2DDE"/>
    <w:rsid w:val="00A1744B"/>
    <w:rsid w:val="00A23F84"/>
    <w:rsid w:val="00A32F08"/>
    <w:rsid w:val="00A471AE"/>
    <w:rsid w:val="00A552ED"/>
    <w:rsid w:val="00A62FBB"/>
    <w:rsid w:val="00A67048"/>
    <w:rsid w:val="00A6719F"/>
    <w:rsid w:val="00A73868"/>
    <w:rsid w:val="00A8448D"/>
    <w:rsid w:val="00A86E26"/>
    <w:rsid w:val="00A923BB"/>
    <w:rsid w:val="00AA51FA"/>
    <w:rsid w:val="00AA6E74"/>
    <w:rsid w:val="00AA7A65"/>
    <w:rsid w:val="00AB0703"/>
    <w:rsid w:val="00AB3708"/>
    <w:rsid w:val="00AB3A85"/>
    <w:rsid w:val="00AC03D8"/>
    <w:rsid w:val="00AC50C7"/>
    <w:rsid w:val="00AC7FEB"/>
    <w:rsid w:val="00AD00E2"/>
    <w:rsid w:val="00AD3943"/>
    <w:rsid w:val="00AE4BBE"/>
    <w:rsid w:val="00AE6207"/>
    <w:rsid w:val="00AF09F0"/>
    <w:rsid w:val="00AF0D23"/>
    <w:rsid w:val="00AF56D9"/>
    <w:rsid w:val="00B06CEF"/>
    <w:rsid w:val="00B07575"/>
    <w:rsid w:val="00B10670"/>
    <w:rsid w:val="00B1259F"/>
    <w:rsid w:val="00B1559F"/>
    <w:rsid w:val="00B204FA"/>
    <w:rsid w:val="00B24537"/>
    <w:rsid w:val="00B24C9F"/>
    <w:rsid w:val="00B25AC7"/>
    <w:rsid w:val="00B26468"/>
    <w:rsid w:val="00B27596"/>
    <w:rsid w:val="00B322E4"/>
    <w:rsid w:val="00B34BBF"/>
    <w:rsid w:val="00B35BE4"/>
    <w:rsid w:val="00B408EE"/>
    <w:rsid w:val="00B44520"/>
    <w:rsid w:val="00B512EE"/>
    <w:rsid w:val="00B52E92"/>
    <w:rsid w:val="00B53942"/>
    <w:rsid w:val="00B53F8E"/>
    <w:rsid w:val="00B54ABC"/>
    <w:rsid w:val="00B65713"/>
    <w:rsid w:val="00B65CE9"/>
    <w:rsid w:val="00B744E5"/>
    <w:rsid w:val="00B749A9"/>
    <w:rsid w:val="00BA407B"/>
    <w:rsid w:val="00BA777D"/>
    <w:rsid w:val="00BB2D3C"/>
    <w:rsid w:val="00BB4F53"/>
    <w:rsid w:val="00BB7A8A"/>
    <w:rsid w:val="00BD0C27"/>
    <w:rsid w:val="00BE3FAF"/>
    <w:rsid w:val="00BE58DA"/>
    <w:rsid w:val="00BE756E"/>
    <w:rsid w:val="00C01E28"/>
    <w:rsid w:val="00C04112"/>
    <w:rsid w:val="00C10351"/>
    <w:rsid w:val="00C1349F"/>
    <w:rsid w:val="00C20058"/>
    <w:rsid w:val="00C214B4"/>
    <w:rsid w:val="00C2244F"/>
    <w:rsid w:val="00C25656"/>
    <w:rsid w:val="00C31BB9"/>
    <w:rsid w:val="00C31BF7"/>
    <w:rsid w:val="00C419A8"/>
    <w:rsid w:val="00C459F0"/>
    <w:rsid w:val="00C532F1"/>
    <w:rsid w:val="00C54970"/>
    <w:rsid w:val="00C559EB"/>
    <w:rsid w:val="00C56B5E"/>
    <w:rsid w:val="00C65608"/>
    <w:rsid w:val="00C66013"/>
    <w:rsid w:val="00C67A86"/>
    <w:rsid w:val="00C716BD"/>
    <w:rsid w:val="00C719A7"/>
    <w:rsid w:val="00C75827"/>
    <w:rsid w:val="00C87E84"/>
    <w:rsid w:val="00C93559"/>
    <w:rsid w:val="00C96B7E"/>
    <w:rsid w:val="00CA0A7B"/>
    <w:rsid w:val="00CA1B35"/>
    <w:rsid w:val="00CA1CA4"/>
    <w:rsid w:val="00CA2C04"/>
    <w:rsid w:val="00CA432E"/>
    <w:rsid w:val="00CA4741"/>
    <w:rsid w:val="00CB59C5"/>
    <w:rsid w:val="00CC09A9"/>
    <w:rsid w:val="00CC1242"/>
    <w:rsid w:val="00CC3312"/>
    <w:rsid w:val="00CD1275"/>
    <w:rsid w:val="00CE23E9"/>
    <w:rsid w:val="00CE278D"/>
    <w:rsid w:val="00CE3103"/>
    <w:rsid w:val="00CE3B3F"/>
    <w:rsid w:val="00CE4A4A"/>
    <w:rsid w:val="00CE6CA1"/>
    <w:rsid w:val="00CF236A"/>
    <w:rsid w:val="00CF515B"/>
    <w:rsid w:val="00D0100F"/>
    <w:rsid w:val="00D01EAD"/>
    <w:rsid w:val="00D039A3"/>
    <w:rsid w:val="00D050DF"/>
    <w:rsid w:val="00D12FD9"/>
    <w:rsid w:val="00D20FB5"/>
    <w:rsid w:val="00D2448E"/>
    <w:rsid w:val="00D248BA"/>
    <w:rsid w:val="00D403E0"/>
    <w:rsid w:val="00D4097D"/>
    <w:rsid w:val="00D414C5"/>
    <w:rsid w:val="00D41FA1"/>
    <w:rsid w:val="00D452F0"/>
    <w:rsid w:val="00D57C7C"/>
    <w:rsid w:val="00D6251F"/>
    <w:rsid w:val="00D64232"/>
    <w:rsid w:val="00D646DE"/>
    <w:rsid w:val="00D6551F"/>
    <w:rsid w:val="00D72613"/>
    <w:rsid w:val="00D7741C"/>
    <w:rsid w:val="00D80C52"/>
    <w:rsid w:val="00D84F7C"/>
    <w:rsid w:val="00D916A3"/>
    <w:rsid w:val="00D93B86"/>
    <w:rsid w:val="00DA1F11"/>
    <w:rsid w:val="00DA2AD9"/>
    <w:rsid w:val="00DA4AC9"/>
    <w:rsid w:val="00DB0C46"/>
    <w:rsid w:val="00DC184B"/>
    <w:rsid w:val="00DC621A"/>
    <w:rsid w:val="00DC76D5"/>
    <w:rsid w:val="00DD51A3"/>
    <w:rsid w:val="00DE0303"/>
    <w:rsid w:val="00DE429A"/>
    <w:rsid w:val="00DF164E"/>
    <w:rsid w:val="00E03D53"/>
    <w:rsid w:val="00E03DFA"/>
    <w:rsid w:val="00E044FA"/>
    <w:rsid w:val="00E0740E"/>
    <w:rsid w:val="00E10B7D"/>
    <w:rsid w:val="00E11B7B"/>
    <w:rsid w:val="00E11CB9"/>
    <w:rsid w:val="00E20F50"/>
    <w:rsid w:val="00E234BE"/>
    <w:rsid w:val="00E23B17"/>
    <w:rsid w:val="00E25394"/>
    <w:rsid w:val="00E357E0"/>
    <w:rsid w:val="00E358E9"/>
    <w:rsid w:val="00E477C6"/>
    <w:rsid w:val="00E50806"/>
    <w:rsid w:val="00E54A5A"/>
    <w:rsid w:val="00E55CB6"/>
    <w:rsid w:val="00E57958"/>
    <w:rsid w:val="00E634BD"/>
    <w:rsid w:val="00E67022"/>
    <w:rsid w:val="00E67782"/>
    <w:rsid w:val="00E733D0"/>
    <w:rsid w:val="00E73415"/>
    <w:rsid w:val="00E74326"/>
    <w:rsid w:val="00E8099D"/>
    <w:rsid w:val="00E82F21"/>
    <w:rsid w:val="00E83390"/>
    <w:rsid w:val="00E83524"/>
    <w:rsid w:val="00E95553"/>
    <w:rsid w:val="00E96240"/>
    <w:rsid w:val="00E97B1C"/>
    <w:rsid w:val="00EA1A58"/>
    <w:rsid w:val="00EA46FC"/>
    <w:rsid w:val="00EA7CE9"/>
    <w:rsid w:val="00EB250D"/>
    <w:rsid w:val="00EB4C20"/>
    <w:rsid w:val="00EB5C99"/>
    <w:rsid w:val="00EB77A5"/>
    <w:rsid w:val="00EC3E67"/>
    <w:rsid w:val="00EC5366"/>
    <w:rsid w:val="00ED5A2A"/>
    <w:rsid w:val="00EE4D50"/>
    <w:rsid w:val="00EF3DB0"/>
    <w:rsid w:val="00EF5B74"/>
    <w:rsid w:val="00F00869"/>
    <w:rsid w:val="00F02C1D"/>
    <w:rsid w:val="00F11FAF"/>
    <w:rsid w:val="00F3146F"/>
    <w:rsid w:val="00F35BA4"/>
    <w:rsid w:val="00F420DA"/>
    <w:rsid w:val="00F4234B"/>
    <w:rsid w:val="00F43617"/>
    <w:rsid w:val="00F4475E"/>
    <w:rsid w:val="00F52B06"/>
    <w:rsid w:val="00F5313C"/>
    <w:rsid w:val="00F55E61"/>
    <w:rsid w:val="00F60080"/>
    <w:rsid w:val="00F63447"/>
    <w:rsid w:val="00F647F9"/>
    <w:rsid w:val="00F70553"/>
    <w:rsid w:val="00F800CE"/>
    <w:rsid w:val="00F80A3A"/>
    <w:rsid w:val="00F83C02"/>
    <w:rsid w:val="00F93A96"/>
    <w:rsid w:val="00FA57A7"/>
    <w:rsid w:val="00FB0445"/>
    <w:rsid w:val="00FB2C95"/>
    <w:rsid w:val="00FC07B7"/>
    <w:rsid w:val="00FC19EF"/>
    <w:rsid w:val="00FC2D70"/>
    <w:rsid w:val="00FC42A6"/>
    <w:rsid w:val="00FC5225"/>
    <w:rsid w:val="00FD0AAB"/>
    <w:rsid w:val="00FD4F30"/>
    <w:rsid w:val="00FD5224"/>
    <w:rsid w:val="00FD5A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ED262"/>
  <w15:docId w15:val="{9CB0E058-5FFD-4E6A-B241-8A03219B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footer" Target="footer1.xml"/><Relationship Id="rId18" Type="http://schemas.openxmlformats.org/officeDocument/2006/relationships/hyperlink" Target="http://search.proquest.com/docview/1374369742?accountid=14749" TargetMode="External"/><Relationship Id="rId26" Type="http://schemas.openxmlformats.org/officeDocument/2006/relationships/hyperlink" Target="https://engemannshc.usc.edu/counsel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ople.engr.ncsu.edu/txie/publications/oral_presentation_skills.pdf"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ibrary.usc.edu/uhtbin/cgisirsi/x/0/0/5?searchdata1=4605838%7bCKEY%7d" TargetMode="External"/><Relationship Id="rId25" Type="http://schemas.openxmlformats.org/officeDocument/2006/relationships/hyperlink" Target="http://policy.usc.edu/scientific-misconduct" TargetMode="External"/><Relationship Id="rId33" Type="http://schemas.openxmlformats.org/officeDocument/2006/relationships/hyperlink" Target="https://studentaffairs.usc.edu/ssa/" TargetMode="External"/><Relationship Id="rId38" Type="http://schemas.openxmlformats.org/officeDocument/2006/relationships/hyperlink" Target="mailto:marleenw@usc.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aaswsw.org/grand-challenges-initiative/" TargetMode="External"/><Relationship Id="rId29"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hyperlink" Target="https://www.socialworkers.org/LinkClick.aspx?fileticket=ms_ArtLqzeI%3d&amp;portali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ichelse@usc.edu" TargetMode="External"/><Relationship Id="rId28" Type="http://schemas.openxmlformats.org/officeDocument/2006/relationships/hyperlink" Target="https://engemannshc.usc.edu/rsvp/" TargetMode="External"/><Relationship Id="rId36" Type="http://schemas.openxmlformats.org/officeDocument/2006/relationships/hyperlink" Target="http://dps.usc.edu/" TargetMode="External"/><Relationship Id="rId10" Type="http://schemas.openxmlformats.org/officeDocument/2006/relationships/hyperlink" Target="http://mswatusc.adobeconnect.com/r8syge00hgk/" TargetMode="External"/><Relationship Id="rId19" Type="http://schemas.openxmlformats.org/officeDocument/2006/relationships/hyperlink" Target="http://people.engr.ncsu.edu/txie/publications/oral_presentation_skills.pdf" TargetMode="External"/><Relationship Id="rId31"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2.xml"/><Relationship Id="rId22" Type="http://schemas.openxmlformats.org/officeDocument/2006/relationships/hyperlink" Target="http://search.proquest.com/docview/1374369742?accountid=14749" TargetMode="External"/><Relationship Id="rId27" Type="http://schemas.openxmlformats.org/officeDocument/2006/relationships/hyperlink" Target="https://urldefense.proofpoint.com/v2/url?u=http-3A__www.suicidepreventionlifeline.org_&amp;d=DwMF-g&amp;c=clK7kQUTWtAVEOVIgvi0NU5BOUHhpN0H8p7CSfnc_gI&amp;r=QuxWRfbt3y0MjMiTUwt-nZmAUkv6KrkzjUkS3XnfmTI&amp;m=5tAAezK7RfZ3kIyKPY_XT66M2UkzzAZzquGuUC9Ocqg&amp;s=O0OpA_R-_lb_cY9Dg-JyiOAJgmkYiXYYO-augQT8Yms&amp;e=" TargetMode="External"/><Relationship Id="rId30" Type="http://schemas.openxmlformats.org/officeDocument/2006/relationships/hyperlink" Target="https://equity.usc.edu/" TargetMode="External"/><Relationship Id="rId35"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D197-F2A7-4114-BC53-D7B7EC4B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36334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Mini Datta</cp:lastModifiedBy>
  <cp:revision>5</cp:revision>
  <cp:lastPrinted>2017-08-30T20:59:00Z</cp:lastPrinted>
  <dcterms:created xsi:type="dcterms:W3CDTF">2018-05-07T18:46:00Z</dcterms:created>
  <dcterms:modified xsi:type="dcterms:W3CDTF">2018-05-07T19:32:00Z</dcterms:modified>
</cp:coreProperties>
</file>