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A53973" w:rsidP="00C05ED0">
      <w:pPr>
        <w:autoSpaceDE w:val="0"/>
        <w:autoSpaceDN w:val="0"/>
        <w:adjustRightInd w:val="0"/>
        <w:jc w:val="center"/>
        <w:rPr>
          <w:rFonts w:cs="Arial"/>
          <w:b/>
          <w:bCs/>
          <w:i/>
          <w:color w:val="262626"/>
          <w:sz w:val="24"/>
          <w:szCs w:val="24"/>
        </w:rPr>
      </w:pPr>
      <w:r>
        <w:rPr>
          <w:rFonts w:cs="Arial"/>
          <w:b/>
          <w:bCs/>
          <w:i/>
          <w:color w:val="262626"/>
          <w:sz w:val="24"/>
          <w:szCs w:val="24"/>
        </w:rPr>
        <w:t>S</w:t>
      </w:r>
      <w:r w:rsidR="004D02C1">
        <w:rPr>
          <w:rFonts w:cs="Arial"/>
          <w:b/>
          <w:bCs/>
          <w:i/>
          <w:color w:val="262626"/>
          <w:sz w:val="24"/>
          <w:szCs w:val="24"/>
        </w:rPr>
        <w:t xml:space="preserve">ummer </w:t>
      </w:r>
      <w:r>
        <w:rPr>
          <w:rFonts w:cs="Arial"/>
          <w:b/>
          <w:bCs/>
          <w:i/>
          <w:color w:val="262626"/>
          <w:sz w:val="24"/>
          <w:szCs w:val="24"/>
        </w:rPr>
        <w:t>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610" w:type="dxa"/>
        <w:tblLook w:val="04A0" w:firstRow="1" w:lastRow="0" w:firstColumn="1" w:lastColumn="0" w:noHBand="0" w:noVBand="1"/>
      </w:tblPr>
      <w:tblGrid>
        <w:gridCol w:w="1122"/>
        <w:gridCol w:w="2662"/>
        <w:gridCol w:w="2178"/>
        <w:gridCol w:w="1893"/>
        <w:gridCol w:w="2755"/>
      </w:tblGrid>
      <w:tr w:rsidR="00587029" w:rsidRPr="00587029" w:rsidTr="00690D10">
        <w:trPr>
          <w:trHeight w:val="320"/>
        </w:trPr>
        <w:tc>
          <w:tcPr>
            <w:tcW w:w="1122" w:type="dxa"/>
            <w:vMerge w:val="restart"/>
          </w:tcPr>
          <w:p w:rsidR="00587029" w:rsidRPr="00587029" w:rsidRDefault="00587029" w:rsidP="00BA407B">
            <w:pPr>
              <w:tabs>
                <w:tab w:val="left" w:pos="1620"/>
              </w:tabs>
              <w:jc w:val="center"/>
              <w:rPr>
                <w:rFonts w:cs="Arial"/>
                <w:bCs/>
              </w:rPr>
            </w:pPr>
          </w:p>
        </w:tc>
        <w:tc>
          <w:tcPr>
            <w:tcW w:w="2662" w:type="dxa"/>
          </w:tcPr>
          <w:p w:rsidR="0015594F" w:rsidRDefault="00587029" w:rsidP="00C716BD">
            <w:pPr>
              <w:tabs>
                <w:tab w:val="left" w:pos="1620"/>
              </w:tabs>
              <w:rPr>
                <w:rFonts w:cs="Arial"/>
                <w:b/>
                <w:bCs/>
              </w:rPr>
            </w:pPr>
            <w:r w:rsidRPr="00587029">
              <w:rPr>
                <w:rFonts w:cs="Arial"/>
                <w:b/>
                <w:bCs/>
              </w:rPr>
              <w:t xml:space="preserve">Instructor: </w:t>
            </w:r>
          </w:p>
          <w:p w:rsidR="00587029" w:rsidRPr="00587029" w:rsidRDefault="00587029" w:rsidP="00C716BD">
            <w:pPr>
              <w:tabs>
                <w:tab w:val="left" w:pos="1620"/>
              </w:tabs>
              <w:rPr>
                <w:rFonts w:cs="Arial"/>
                <w:b/>
                <w:bCs/>
              </w:rPr>
            </w:pPr>
            <w:r w:rsidRPr="00587029">
              <w:rPr>
                <w:rFonts w:cs="Arial"/>
                <w:b/>
                <w:bCs/>
              </w:rPr>
              <w:t xml:space="preserve"> </w:t>
            </w:r>
            <w:r w:rsidR="0015594F">
              <w:rPr>
                <w:rFonts w:cs="Arial"/>
                <w:b/>
                <w:bCs/>
              </w:rPr>
              <w:t>Karen Pinkney</w:t>
            </w:r>
          </w:p>
        </w:tc>
        <w:tc>
          <w:tcPr>
            <w:tcW w:w="6825" w:type="dxa"/>
            <w:gridSpan w:val="3"/>
          </w:tcPr>
          <w:p w:rsidR="00587029" w:rsidRPr="00587029" w:rsidRDefault="00587029" w:rsidP="00C716BD">
            <w:pPr>
              <w:tabs>
                <w:tab w:val="left" w:pos="1620"/>
              </w:tabs>
              <w:rPr>
                <w:rFonts w:cs="Arial"/>
                <w:bCs/>
              </w:rPr>
            </w:pPr>
          </w:p>
        </w:tc>
      </w:tr>
      <w:tr w:rsidR="00587029" w:rsidRPr="00587029" w:rsidTr="00690D10">
        <w:trPr>
          <w:trHeight w:val="32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 xml:space="preserve">E-Mail: </w:t>
            </w:r>
          </w:p>
          <w:p w:rsidR="0015594F" w:rsidRPr="00587029" w:rsidRDefault="0015594F" w:rsidP="00C716BD">
            <w:pPr>
              <w:tabs>
                <w:tab w:val="left" w:pos="1620"/>
              </w:tabs>
              <w:rPr>
                <w:rFonts w:cs="Arial"/>
                <w:b/>
                <w:bCs/>
              </w:rPr>
            </w:pPr>
            <w:r>
              <w:rPr>
                <w:rFonts w:cs="Arial"/>
                <w:b/>
                <w:bCs/>
              </w:rPr>
              <w:t>karen.pinkney@usc.edu</w:t>
            </w:r>
          </w:p>
        </w:tc>
        <w:tc>
          <w:tcPr>
            <w:tcW w:w="2178" w:type="dxa"/>
          </w:tcPr>
          <w:p w:rsidR="00587029" w:rsidRPr="00587029" w:rsidRDefault="00587029" w:rsidP="00C716BD">
            <w:pPr>
              <w:tabs>
                <w:tab w:val="left" w:pos="1620"/>
              </w:tabs>
              <w:rPr>
                <w:rFonts w:cs="Arial"/>
                <w:bCs/>
              </w:rPr>
            </w:pPr>
          </w:p>
        </w:tc>
        <w:tc>
          <w:tcPr>
            <w:tcW w:w="1893" w:type="dxa"/>
          </w:tcPr>
          <w:p w:rsidR="0015594F" w:rsidRDefault="00587029" w:rsidP="0015594F">
            <w:pPr>
              <w:tabs>
                <w:tab w:val="left" w:pos="1620"/>
              </w:tabs>
              <w:rPr>
                <w:rFonts w:cs="Arial"/>
                <w:b/>
                <w:bCs/>
              </w:rPr>
            </w:pPr>
            <w:r w:rsidRPr="00587029">
              <w:rPr>
                <w:rFonts w:cs="Arial"/>
                <w:b/>
                <w:bCs/>
              </w:rPr>
              <w:t>Course Day:</w:t>
            </w:r>
            <w:r w:rsidR="0015594F">
              <w:rPr>
                <w:rFonts w:cs="Arial"/>
                <w:b/>
                <w:bCs/>
              </w:rPr>
              <w:t xml:space="preserve"> </w:t>
            </w:r>
            <w:r w:rsidR="004D02C1">
              <w:rPr>
                <w:rFonts w:cs="Arial"/>
                <w:b/>
                <w:bCs/>
              </w:rPr>
              <w:t>Monday</w:t>
            </w:r>
          </w:p>
          <w:p w:rsidR="00690D10" w:rsidRPr="00587029" w:rsidRDefault="00690D10" w:rsidP="0015594F">
            <w:pPr>
              <w:tabs>
                <w:tab w:val="left" w:pos="1620"/>
              </w:tabs>
              <w:rPr>
                <w:rFonts w:cs="Arial"/>
                <w:b/>
                <w:bCs/>
              </w:rPr>
            </w:pPr>
          </w:p>
        </w:tc>
        <w:tc>
          <w:tcPr>
            <w:tcW w:w="2755" w:type="dxa"/>
          </w:tcPr>
          <w:p w:rsidR="00587029" w:rsidRPr="00587029" w:rsidRDefault="00587029" w:rsidP="00C716BD">
            <w:pPr>
              <w:tabs>
                <w:tab w:val="left" w:pos="1620"/>
              </w:tabs>
              <w:rPr>
                <w:rFonts w:cs="Arial"/>
                <w:bCs/>
              </w:rPr>
            </w:pPr>
          </w:p>
        </w:tc>
      </w:tr>
      <w:tr w:rsidR="00587029" w:rsidRPr="00587029" w:rsidTr="00690D10">
        <w:trPr>
          <w:trHeight w:val="16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Telephone:</w:t>
            </w:r>
          </w:p>
          <w:p w:rsidR="0015594F" w:rsidRPr="00587029" w:rsidRDefault="0015594F" w:rsidP="00C716BD">
            <w:pPr>
              <w:tabs>
                <w:tab w:val="left" w:pos="1620"/>
              </w:tabs>
              <w:rPr>
                <w:rFonts w:cs="Arial"/>
                <w:b/>
                <w:bCs/>
              </w:rPr>
            </w:pPr>
            <w:r>
              <w:rPr>
                <w:rFonts w:cs="Arial"/>
                <w:b/>
                <w:bCs/>
              </w:rPr>
              <w:t>312-520-9756</w:t>
            </w:r>
          </w:p>
        </w:tc>
        <w:tc>
          <w:tcPr>
            <w:tcW w:w="2178" w:type="dxa"/>
          </w:tcPr>
          <w:p w:rsidR="00587029" w:rsidRPr="00587029" w:rsidRDefault="00587029" w:rsidP="00C716BD">
            <w:pPr>
              <w:tabs>
                <w:tab w:val="left" w:pos="1620"/>
              </w:tabs>
              <w:rPr>
                <w:rFonts w:cs="Arial"/>
                <w:bCs/>
              </w:rPr>
            </w:pPr>
          </w:p>
        </w:tc>
        <w:tc>
          <w:tcPr>
            <w:tcW w:w="1893" w:type="dxa"/>
          </w:tcPr>
          <w:p w:rsidR="0015594F" w:rsidRDefault="00587029" w:rsidP="00C716BD">
            <w:pPr>
              <w:tabs>
                <w:tab w:val="left" w:pos="1620"/>
              </w:tabs>
              <w:rPr>
                <w:rFonts w:cs="Arial"/>
                <w:b/>
                <w:bCs/>
              </w:rPr>
            </w:pPr>
            <w:r w:rsidRPr="00587029">
              <w:rPr>
                <w:rFonts w:cs="Arial"/>
                <w:b/>
                <w:bCs/>
              </w:rPr>
              <w:t>Course Time:</w:t>
            </w:r>
          </w:p>
          <w:p w:rsidR="0015594F" w:rsidRPr="0015594F" w:rsidRDefault="00A53973" w:rsidP="00C716BD">
            <w:pPr>
              <w:tabs>
                <w:tab w:val="left" w:pos="1620"/>
              </w:tabs>
              <w:rPr>
                <w:rFonts w:cs="Arial"/>
                <w:b/>
                <w:bCs/>
                <w:sz w:val="18"/>
              </w:rPr>
            </w:pPr>
            <w:r>
              <w:rPr>
                <w:rFonts w:cs="Arial"/>
                <w:b/>
                <w:bCs/>
                <w:sz w:val="18"/>
              </w:rPr>
              <w:t>4</w:t>
            </w:r>
            <w:r w:rsidR="00463830">
              <w:rPr>
                <w:rFonts w:cs="Arial"/>
                <w:b/>
                <w:bCs/>
                <w:sz w:val="18"/>
              </w:rPr>
              <w:t>:00</w:t>
            </w:r>
            <w:r>
              <w:rPr>
                <w:rFonts w:cs="Arial"/>
                <w:b/>
                <w:bCs/>
                <w:sz w:val="18"/>
              </w:rPr>
              <w:t>-5:20 pm PST</w:t>
            </w:r>
            <w:r w:rsidR="0015594F" w:rsidRPr="0015594F">
              <w:rPr>
                <w:rFonts w:cs="Arial"/>
                <w:b/>
                <w:bCs/>
                <w:sz w:val="18"/>
              </w:rPr>
              <w:t xml:space="preserve"> - </w:t>
            </w:r>
          </w:p>
          <w:p w:rsidR="00587029" w:rsidRPr="00587029" w:rsidRDefault="00A53973" w:rsidP="00C716BD">
            <w:pPr>
              <w:tabs>
                <w:tab w:val="left" w:pos="1620"/>
              </w:tabs>
              <w:rPr>
                <w:rFonts w:cs="Arial"/>
                <w:b/>
                <w:bCs/>
              </w:rPr>
            </w:pPr>
            <w:r>
              <w:rPr>
                <w:rFonts w:cs="Arial"/>
                <w:b/>
                <w:bCs/>
                <w:sz w:val="18"/>
              </w:rPr>
              <w:t>5:40-7:00 pm PST</w:t>
            </w:r>
          </w:p>
        </w:tc>
        <w:tc>
          <w:tcPr>
            <w:tcW w:w="2755" w:type="dxa"/>
          </w:tcPr>
          <w:p w:rsidR="00587029" w:rsidRPr="00587029" w:rsidRDefault="00587029" w:rsidP="00587029">
            <w:pPr>
              <w:tabs>
                <w:tab w:val="left" w:pos="1620"/>
              </w:tabs>
              <w:rPr>
                <w:rFonts w:cs="Arial"/>
                <w:bCs/>
              </w:rPr>
            </w:pPr>
          </w:p>
        </w:tc>
      </w:tr>
      <w:tr w:rsidR="00587029" w:rsidRPr="00587029" w:rsidTr="00690D10">
        <w:trPr>
          <w:trHeight w:val="159"/>
        </w:trPr>
        <w:tc>
          <w:tcPr>
            <w:tcW w:w="1122" w:type="dxa"/>
            <w:vMerge/>
          </w:tcPr>
          <w:p w:rsidR="00587029" w:rsidRPr="00587029" w:rsidRDefault="00587029" w:rsidP="00C716BD">
            <w:pPr>
              <w:tabs>
                <w:tab w:val="left" w:pos="1620"/>
              </w:tabs>
              <w:rPr>
                <w:rFonts w:cs="Arial"/>
                <w:b/>
                <w:bCs/>
              </w:rPr>
            </w:pPr>
          </w:p>
        </w:tc>
        <w:tc>
          <w:tcPr>
            <w:tcW w:w="2662" w:type="dxa"/>
          </w:tcPr>
          <w:p w:rsidR="00587029" w:rsidRPr="00587029" w:rsidRDefault="00587029" w:rsidP="00C716BD">
            <w:pPr>
              <w:tabs>
                <w:tab w:val="left" w:pos="1620"/>
              </w:tabs>
              <w:rPr>
                <w:rFonts w:cs="Arial"/>
                <w:b/>
                <w:bCs/>
              </w:rPr>
            </w:pPr>
            <w:r w:rsidRPr="00587029">
              <w:rPr>
                <w:rFonts w:cs="Arial"/>
                <w:b/>
                <w:bCs/>
              </w:rPr>
              <w:t xml:space="preserve">Office: </w:t>
            </w:r>
            <w:r w:rsidR="0015594F">
              <w:rPr>
                <w:rFonts w:cs="Arial"/>
                <w:b/>
                <w:bCs/>
              </w:rPr>
              <w:t>VAC</w:t>
            </w:r>
          </w:p>
        </w:tc>
        <w:tc>
          <w:tcPr>
            <w:tcW w:w="2178" w:type="dxa"/>
          </w:tcPr>
          <w:p w:rsidR="00587029" w:rsidRPr="00587029" w:rsidRDefault="00587029" w:rsidP="00C716BD">
            <w:pPr>
              <w:tabs>
                <w:tab w:val="left" w:pos="1620"/>
              </w:tabs>
              <w:rPr>
                <w:rFonts w:cs="Arial"/>
                <w:bCs/>
              </w:rPr>
            </w:pPr>
          </w:p>
        </w:tc>
        <w:tc>
          <w:tcPr>
            <w:tcW w:w="1893" w:type="dxa"/>
            <w:vMerge w:val="restart"/>
          </w:tcPr>
          <w:p w:rsidR="0015594F" w:rsidRDefault="00587029" w:rsidP="00C716BD">
            <w:pPr>
              <w:tabs>
                <w:tab w:val="left" w:pos="1620"/>
              </w:tabs>
              <w:rPr>
                <w:rFonts w:cs="Arial"/>
                <w:b/>
                <w:bCs/>
              </w:rPr>
            </w:pPr>
            <w:r w:rsidRPr="00587029">
              <w:rPr>
                <w:rFonts w:cs="Arial"/>
                <w:b/>
                <w:bCs/>
              </w:rPr>
              <w:t>Course</w:t>
            </w:r>
            <w:r w:rsidR="0015594F">
              <w:rPr>
                <w:rFonts w:cs="Arial"/>
                <w:b/>
                <w:bCs/>
              </w:rPr>
              <w:t>:</w:t>
            </w:r>
          </w:p>
          <w:p w:rsidR="0015594F" w:rsidRDefault="00587029" w:rsidP="00C716BD">
            <w:pPr>
              <w:tabs>
                <w:tab w:val="left" w:pos="1620"/>
              </w:tabs>
              <w:rPr>
                <w:rFonts w:cs="Arial"/>
                <w:b/>
                <w:bCs/>
              </w:rPr>
            </w:pPr>
            <w:r w:rsidRPr="00587029">
              <w:rPr>
                <w:rFonts w:cs="Arial"/>
                <w:b/>
                <w:bCs/>
              </w:rPr>
              <w:t xml:space="preserve"> </w:t>
            </w:r>
            <w:r w:rsidR="0015594F">
              <w:rPr>
                <w:rFonts w:cs="Arial"/>
                <w:b/>
                <w:bCs/>
              </w:rPr>
              <w:t>SOWK 611</w:t>
            </w:r>
            <w:r w:rsidR="00A94AAC">
              <w:rPr>
                <w:rFonts w:cs="Arial"/>
                <w:b/>
                <w:bCs/>
              </w:rPr>
              <w:t xml:space="preserve"> </w:t>
            </w:r>
          </w:p>
          <w:p w:rsidR="00587029" w:rsidRPr="00587029" w:rsidRDefault="00587029" w:rsidP="00C716BD">
            <w:pPr>
              <w:tabs>
                <w:tab w:val="left" w:pos="1620"/>
              </w:tabs>
              <w:rPr>
                <w:rFonts w:cs="Arial"/>
                <w:b/>
                <w:bCs/>
              </w:rPr>
            </w:pPr>
            <w:r w:rsidRPr="00587029">
              <w:rPr>
                <w:rFonts w:cs="Arial"/>
                <w:b/>
                <w:bCs/>
              </w:rPr>
              <w:t>Location:</w:t>
            </w:r>
            <w:r w:rsidR="0015594F">
              <w:rPr>
                <w:rFonts w:cs="Arial"/>
                <w:b/>
                <w:bCs/>
              </w:rPr>
              <w:t xml:space="preserve"> VAC</w:t>
            </w:r>
          </w:p>
        </w:tc>
        <w:tc>
          <w:tcPr>
            <w:tcW w:w="2755" w:type="dxa"/>
            <w:vMerge w:val="restart"/>
          </w:tcPr>
          <w:p w:rsidR="00587029" w:rsidRPr="00587029" w:rsidRDefault="00587029" w:rsidP="00C716BD">
            <w:pPr>
              <w:tabs>
                <w:tab w:val="left" w:pos="1620"/>
              </w:tabs>
              <w:rPr>
                <w:rFonts w:cs="Arial"/>
                <w:bCs/>
              </w:rPr>
            </w:pPr>
          </w:p>
        </w:tc>
      </w:tr>
      <w:tr w:rsidR="00587029" w:rsidRPr="00587029" w:rsidTr="00690D10">
        <w:trPr>
          <w:trHeight w:val="32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Office Hours:</w:t>
            </w:r>
          </w:p>
          <w:p w:rsidR="0015594F" w:rsidRPr="00587029" w:rsidRDefault="00A53973" w:rsidP="00C716BD">
            <w:pPr>
              <w:tabs>
                <w:tab w:val="left" w:pos="1620"/>
              </w:tabs>
              <w:rPr>
                <w:rFonts w:cs="Arial"/>
                <w:b/>
                <w:bCs/>
              </w:rPr>
            </w:pPr>
            <w:r>
              <w:rPr>
                <w:rFonts w:cs="Arial"/>
                <w:b/>
                <w:bCs/>
              </w:rPr>
              <w:t xml:space="preserve">7-7:30 p.m. </w:t>
            </w:r>
            <w:r w:rsidR="0015594F">
              <w:rPr>
                <w:rFonts w:cs="Arial"/>
                <w:b/>
                <w:bCs/>
              </w:rPr>
              <w:t>(</w:t>
            </w:r>
            <w:r w:rsidR="004D02C1">
              <w:rPr>
                <w:rFonts w:cs="Arial"/>
                <w:b/>
                <w:bCs/>
              </w:rPr>
              <w:t>Monday</w:t>
            </w:r>
            <w:r w:rsidR="0015594F">
              <w:rPr>
                <w:rFonts w:cs="Arial"/>
                <w:b/>
                <w:bCs/>
              </w:rPr>
              <w:t>)</w:t>
            </w:r>
          </w:p>
        </w:tc>
        <w:tc>
          <w:tcPr>
            <w:tcW w:w="2178"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3" w:type="dxa"/>
            <w:vMerge/>
          </w:tcPr>
          <w:p w:rsidR="00587029" w:rsidRPr="00587029" w:rsidRDefault="00587029" w:rsidP="00C716BD">
            <w:pPr>
              <w:tabs>
                <w:tab w:val="left" w:pos="1620"/>
              </w:tabs>
              <w:rPr>
                <w:rFonts w:cs="Arial"/>
                <w:b/>
                <w:bCs/>
              </w:rPr>
            </w:pPr>
          </w:p>
        </w:tc>
        <w:tc>
          <w:tcPr>
            <w:tcW w:w="2755"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w:t>
      </w:r>
      <w:r w:rsidRPr="006A1427">
        <w:lastRenderedPageBreak/>
        <w:t>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DF2592" w:rsidP="0015594F">
      <w:r>
        <w:rPr>
          <w:color w:val="000000"/>
        </w:rPr>
        <w:br w:type="page"/>
      </w:r>
      <w:r w:rsidR="0091007D" w:rsidRPr="003F5ABA">
        <w:lastRenderedPageBreak/>
        <w:t xml:space="preserve">Student Learning </w:t>
      </w:r>
      <w:r w:rsidR="00E96240" w:rsidRPr="003F5ABA">
        <w:t>Outcome</w:t>
      </w:r>
      <w:r w:rsidR="0091007D"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w:t>
            </w:r>
            <w:proofErr w:type="gramStart"/>
            <w:r w:rsidRPr="00031291">
              <w:rPr>
                <w:rFonts w:eastAsiaTheme="minorHAnsi" w:cs="Arial"/>
              </w:rPr>
              <w:t>in order to</w:t>
            </w:r>
            <w:proofErr w:type="gramEnd"/>
            <w:r w:rsidRPr="00031291">
              <w:rPr>
                <w:rFonts w:eastAsiaTheme="minorHAnsi" w:cs="Arial"/>
              </w:rPr>
              <w:t xml:space="preserve">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proofErr w:type="gramStart"/>
      <w:r w:rsidR="00A86230">
        <w:t>6-</w:t>
      </w:r>
      <w:r w:rsidR="0029199B">
        <w:t>8</w:t>
      </w:r>
      <w:r w:rsidR="00A86230">
        <w:t xml:space="preserve"> </w:t>
      </w:r>
      <w:r w:rsidRPr="004C0198">
        <w:t>page</w:t>
      </w:r>
      <w:proofErr w:type="gramEnd"/>
      <w:r w:rsidRPr="004C0198">
        <w:t xml:space="preserv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proofErr w:type="gramStart"/>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w:t>
      </w:r>
      <w:proofErr w:type="gramEnd"/>
      <w:r w:rsidRPr="005847C0">
        <w:rPr>
          <w:rFonts w:cs="Arial"/>
        </w:rPr>
        <w:t xml:space="preserv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w:t>
      </w:r>
      <w:proofErr w:type="gramStart"/>
      <w:r w:rsidR="00E05F7A">
        <w:rPr>
          <w:rFonts w:cs="Arial"/>
          <w:szCs w:val="20"/>
        </w:rPr>
        <w:t>25</w:t>
      </w:r>
      <w:r w:rsidRPr="00441E00">
        <w:rPr>
          <w:rFonts w:cs="Arial"/>
          <w:szCs w:val="20"/>
        </w:rPr>
        <w:t xml:space="preserve"> minute</w:t>
      </w:r>
      <w:proofErr w:type="gramEnd"/>
      <w:r w:rsidRPr="00441E00">
        <w:rPr>
          <w:rFonts w:cs="Arial"/>
          <w:szCs w:val="20"/>
        </w:rPr>
        <w:t xml:space="preserv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w:t>
      </w:r>
      <w:r w:rsidRPr="00441E00">
        <w:rPr>
          <w:rFonts w:cs="Arial"/>
          <w:szCs w:val="20"/>
        </w:rPr>
        <w:lastRenderedPageBreak/>
        <w:t xml:space="preserve">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sidP="002E5768">
      <w:bookmarkStart w:id="0" w:name="_GoBack"/>
      <w:bookmarkEnd w:id="0"/>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9E2AD7" w:rsidP="00275967">
      <w:pPr>
        <w:pStyle w:val="Bib"/>
        <w:rPr>
          <w:szCs w:val="24"/>
        </w:rPr>
      </w:pPr>
      <w:proofErr w:type="spellStart"/>
      <w:r>
        <w:rPr>
          <w:szCs w:val="24"/>
        </w:rPr>
        <w:t>Rath</w:t>
      </w:r>
      <w:proofErr w:type="spellEnd"/>
      <w:r>
        <w:rPr>
          <w:szCs w:val="24"/>
        </w:rPr>
        <w:t>, T.</w:t>
      </w:r>
      <w:r w:rsidR="00275967" w:rsidRPr="00275967">
        <w:rPr>
          <w:szCs w:val="24"/>
        </w:rPr>
        <w:t xml:space="preserve"> (2008). </w:t>
      </w:r>
      <w:r w:rsidR="00275967" w:rsidRPr="00275967">
        <w:rPr>
          <w:i/>
          <w:szCs w:val="24"/>
        </w:rPr>
        <w:t>Strengths based leadership: Great leaders, teams, and why people follow</w:t>
      </w:r>
      <w:r w:rsidR="00275967" w:rsidRPr="00275967">
        <w:rPr>
          <w:szCs w:val="24"/>
        </w:rPr>
        <w:t>. New York: Gallup Press.</w:t>
      </w:r>
    </w:p>
    <w:p w:rsidR="00275967" w:rsidRPr="000F0290" w:rsidRDefault="00275967" w:rsidP="00275967">
      <w:pPr>
        <w:pStyle w:val="Bib"/>
        <w:ind w:left="0" w:firstLine="0"/>
        <w:rPr>
          <w:szCs w:val="24"/>
          <w:highlight w:val="yellow"/>
        </w:rPr>
      </w:pPr>
      <w:r w:rsidRPr="000F0290">
        <w:rPr>
          <w:szCs w:val="24"/>
          <w:highlight w:val="yellow"/>
        </w:rPr>
        <w:t xml:space="preserve">(Instructor Note: </w:t>
      </w:r>
      <w:r w:rsidRPr="000F0290">
        <w:rPr>
          <w:b/>
          <w:szCs w:val="24"/>
          <w:highlight w:val="yellow"/>
        </w:rPr>
        <w:t xml:space="preserve">This </w:t>
      </w:r>
      <w:r w:rsidRPr="000F0290">
        <w:rPr>
          <w:b/>
          <w:bCs/>
          <w:szCs w:val="24"/>
          <w:highlight w:val="yellow"/>
        </w:rPr>
        <w:t>text must be purchased new!</w:t>
      </w:r>
      <w:r w:rsidRPr="000F0290">
        <w:rPr>
          <w:bCs/>
          <w:szCs w:val="24"/>
          <w:highlight w:val="yellow"/>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0F0290">
        <w:rPr>
          <w:rStyle w:val="Strong"/>
          <w:rFonts w:ascii="Arial" w:hAnsi="Arial" w:cs="Arial"/>
          <w:b w:val="0"/>
          <w:bCs w:val="0"/>
          <w:highlight w:val="yellow"/>
        </w:rPr>
        <w:t xml:space="preserve">Northouse, P. G. (2016). </w:t>
      </w:r>
      <w:r w:rsidRPr="000F0290">
        <w:rPr>
          <w:rStyle w:val="Strong"/>
          <w:rFonts w:ascii="Arial" w:hAnsi="Arial" w:cs="Arial"/>
          <w:b w:val="0"/>
          <w:bCs w:val="0"/>
          <w:i/>
          <w:highlight w:val="yellow"/>
        </w:rPr>
        <w:t>Leadership: Theory and practice</w:t>
      </w:r>
      <w:r w:rsidRPr="000F0290">
        <w:rPr>
          <w:rStyle w:val="Strong"/>
          <w:rFonts w:ascii="Arial" w:hAnsi="Arial" w:cs="Arial"/>
          <w:b w:val="0"/>
          <w:bCs w:val="0"/>
          <w:highlight w:val="yellow"/>
        </w:rPr>
        <w:t xml:space="preserve"> (7</w:t>
      </w:r>
      <w:r w:rsidRPr="000F0290">
        <w:rPr>
          <w:rStyle w:val="Strong"/>
          <w:rFonts w:ascii="Arial" w:hAnsi="Arial" w:cs="Arial"/>
          <w:b w:val="0"/>
          <w:bCs w:val="0"/>
          <w:highlight w:val="yellow"/>
          <w:vertAlign w:val="superscript"/>
        </w:rPr>
        <w:t>th</w:t>
      </w:r>
      <w:r w:rsidRPr="000F0290">
        <w:rPr>
          <w:rStyle w:val="Strong"/>
          <w:rFonts w:ascii="Arial" w:hAnsi="Arial" w:cs="Arial"/>
          <w:b w:val="0"/>
          <w:bCs w:val="0"/>
          <w:highlight w:val="yellow"/>
        </w:rPr>
        <w:t xml:space="preserve"> Edition). Thousand Oaks, CA: Sage.</w:t>
      </w:r>
      <w:r w:rsidRPr="00275967">
        <w:rPr>
          <w:rStyle w:val="Strong"/>
          <w:rFonts w:ascii="Arial" w:hAnsi="Arial" w:cs="Arial"/>
          <w:b w:val="0"/>
          <w:bCs w:val="0"/>
        </w:rPr>
        <w:t xml:space="preserv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774894"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774894"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774894"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774894"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774894"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9D338B" w:rsidP="009D338B">
            <w:pPr>
              <w:tabs>
                <w:tab w:val="center" w:pos="2997"/>
              </w:tabs>
              <w:rPr>
                <w:rFonts w:cs="Arial"/>
              </w:rPr>
            </w:pPr>
            <w:r>
              <w:rPr>
                <w:rFonts w:cs="Arial"/>
                <w:b/>
                <w:color w:val="FFFFFF"/>
              </w:rPr>
              <w:tab/>
            </w:r>
            <w:r w:rsidR="002936BF"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lastRenderedPageBreak/>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proofErr w:type="gramStart"/>
            <w:r>
              <w:rPr>
                <w:rFonts w:cs="Arial"/>
                <w:b/>
                <w:i/>
              </w:rPr>
              <w:t>Leadership  Assessment</w:t>
            </w:r>
            <w:proofErr w:type="gramEnd"/>
            <w:r>
              <w:rPr>
                <w:rFonts w:cs="Arial"/>
                <w:b/>
                <w:i/>
              </w:rPr>
              <w:t xml:space="preserve">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2936BF" w:rsidRPr="00275967" w:rsidRDefault="002936BF" w:rsidP="00D64ED9">
            <w:pPr>
              <w:ind w:left="22" w:hanging="22"/>
              <w:jc w:val="center"/>
              <w:rPr>
                <w:rFonts w:cs="Arial"/>
              </w:rPr>
            </w:pP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E05F7A">
              <w:rPr>
                <w:rFonts w:cs="Arial"/>
                <w:b/>
              </w:rPr>
              <w:t>Group Presentations</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Brody, R. &amp; Nair, M. (2014). Leading the Organization in Effectively Leading Human Service Organizations (4th Edition pp. 3-18</w:t>
            </w:r>
            <w:proofErr w:type="gramStart"/>
            <w:r w:rsidRPr="00620CBA">
              <w:rPr>
                <w:rFonts w:cs="Arial"/>
              </w:rPr>
              <w:t>).Thousand</w:t>
            </w:r>
            <w:proofErr w:type="gramEnd"/>
            <w:r w:rsidRPr="00620CBA">
              <w:rPr>
                <w:rFonts w:cs="Arial"/>
              </w:rPr>
              <w:t xml:space="preserve">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lastRenderedPageBreak/>
              <w:t>Rath</w:t>
            </w:r>
            <w:proofErr w:type="spellEnd"/>
            <w:r w:rsidRPr="00620CBA">
              <w:rPr>
                <w:rFonts w:cs="Arial"/>
              </w:rPr>
              <w:t xml:space="preserve">,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w:t>
            </w:r>
            <w:proofErr w:type="gramStart"/>
            <w:r w:rsidRPr="00FB1AC4">
              <w:rPr>
                <w:rFonts w:cs="Arial"/>
              </w:rPr>
              <w:t>In</w:t>
            </w:r>
            <w:proofErr w:type="gramEnd"/>
            <w:r w:rsidRPr="00FB1AC4">
              <w:rPr>
                <w:rFonts w:cs="Arial"/>
              </w:rPr>
              <w:t xml:space="preserve">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w:t>
            </w:r>
            <w:proofErr w:type="gramStart"/>
            <w:r w:rsidRPr="00FB1AC4">
              <w:rPr>
                <w:rFonts w:cs="Arial"/>
              </w:rPr>
              <w:t>In</w:t>
            </w:r>
            <w:proofErr w:type="gramEnd"/>
            <w:r w:rsidRPr="00FB1AC4">
              <w:rPr>
                <w:rFonts w:cs="Arial"/>
              </w:rPr>
              <w:t xml:space="preserve">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774894"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774894"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lastRenderedPageBreak/>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w:t>
            </w:r>
            <w:proofErr w:type="gramStart"/>
            <w:r w:rsidRPr="00D15CAF">
              <w:rPr>
                <w:rFonts w:cs="Arial"/>
              </w:rPr>
              <w:t>In</w:t>
            </w:r>
            <w:proofErr w:type="gramEnd"/>
            <w:r w:rsidRPr="00D15CAF">
              <w:rPr>
                <w:rFonts w:cs="Arial"/>
              </w:rPr>
              <w:t xml:space="preserve">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w:t>
            </w:r>
            <w:proofErr w:type="gramStart"/>
            <w:r w:rsidRPr="00D15CAF">
              <w:rPr>
                <w:rFonts w:cs="Arial"/>
              </w:rPr>
              <w:t>In</w:t>
            </w:r>
            <w:proofErr w:type="gramEnd"/>
            <w:r w:rsidRPr="00D15CAF">
              <w:rPr>
                <w:rFonts w:cs="Arial"/>
              </w:rPr>
              <w:t xml:space="preserve">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lastRenderedPageBreak/>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112A74" w:rsidRDefault="00CD490C" w:rsidP="00B31347">
            <w:pPr>
              <w:spacing w:before="100" w:beforeAutospacing="1" w:after="100" w:afterAutospacing="1"/>
              <w:ind w:left="727" w:hanging="720"/>
              <w:rPr>
                <w:rFonts w:cs="Arial"/>
                <w:b/>
              </w:rPr>
            </w:pPr>
            <w:r w:rsidRPr="00112A74">
              <w:rPr>
                <w:rFonts w:cs="Arial"/>
                <w:b/>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w:t>
            </w:r>
            <w:proofErr w:type="gramStart"/>
            <w:r w:rsidRPr="00B31347">
              <w:rPr>
                <w:rFonts w:cs="Arial"/>
              </w:rPr>
              <w:t>In</w:t>
            </w:r>
            <w:proofErr w:type="gramEnd"/>
            <w:r w:rsidRPr="00B31347">
              <w:rPr>
                <w:rFonts w:cs="Arial"/>
              </w:rPr>
              <w:t xml:space="preserve">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lastRenderedPageBreak/>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Yancy and Joe </w:t>
                        </w:r>
                        <w:proofErr w:type="spellStart"/>
                        <w:r w:rsidRPr="00EE55FA">
                          <w:t>Feagin</w:t>
                        </w:r>
                        <w:proofErr w:type="spellEnd"/>
                        <w:r w:rsidRPr="00EE55FA">
                          <w:t xml:space="preserve"> on American Racism in the ‘White Frame’</w:t>
                        </w:r>
                      </w:p>
                      <w:p w:rsidR="00B31347" w:rsidRDefault="00774894"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w:t>
            </w:r>
            <w:proofErr w:type="gramStart"/>
            <w:r>
              <w:t>In</w:t>
            </w:r>
            <w:proofErr w:type="gramEnd"/>
            <w:r>
              <w:t xml:space="preserve"> Leadership: Theory and practice (7th ed. Chapter 2, pp. 19-42). Thousand Oaks, CA: Sage. </w:t>
            </w:r>
          </w:p>
          <w:p w:rsidR="00CD1A06" w:rsidRDefault="00CD1A06" w:rsidP="00CD1A06">
            <w:pPr>
              <w:pStyle w:val="NormalWeb"/>
              <w:ind w:left="727" w:hanging="727"/>
            </w:pPr>
            <w:r>
              <w:t xml:space="preserve">Northouse, P. G. (2016). Leader-Member Exchange Theory </w:t>
            </w:r>
            <w:proofErr w:type="gramStart"/>
            <w:r>
              <w:t>In</w:t>
            </w:r>
            <w:proofErr w:type="gramEnd"/>
            <w:r>
              <w:t xml:space="preserve"> Leadership: Theory and practice (7th ed. Chapter 7, pp. 137-158). Thousand Oaks, CA: Sage. </w:t>
            </w:r>
          </w:p>
          <w:p w:rsidR="00CD1A06" w:rsidRDefault="00CD1A06" w:rsidP="00CD1A06">
            <w:pPr>
              <w:pStyle w:val="NormalWeb"/>
              <w:ind w:left="727" w:hanging="727"/>
            </w:pPr>
            <w:r>
              <w:lastRenderedPageBreak/>
              <w:t xml:space="preserve">Northouse, P. G. (2016). Psychodynamic Approach </w:t>
            </w:r>
            <w:proofErr w:type="gramStart"/>
            <w:r>
              <w:t>In</w:t>
            </w:r>
            <w:proofErr w:type="gramEnd"/>
            <w:r>
              <w:t xml:space="preserve">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w:t>
                  </w:r>
                  <w:proofErr w:type="gramStart"/>
                  <w:r>
                    <w:t>In</w:t>
                  </w:r>
                  <w:proofErr w:type="gramEnd"/>
                  <w:r>
                    <w:t xml:space="preserve">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lastRenderedPageBreak/>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 xml:space="preserve">International Journal of Research </w:t>
            </w:r>
            <w:proofErr w:type="gramStart"/>
            <w:r w:rsidRPr="00857353">
              <w:rPr>
                <w:rFonts w:cs="Arial"/>
                <w:i/>
              </w:rPr>
              <w:t>In</w:t>
            </w:r>
            <w:proofErr w:type="gramEnd"/>
            <w:r w:rsidRPr="00857353">
              <w:rPr>
                <w:rFonts w:cs="Arial"/>
                <w:i/>
              </w:rPr>
              <w:t xml:space="preserve">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E32AC0" w:rsidP="00D64ED9">
            <w:pPr>
              <w:pStyle w:val="ListParagraph"/>
              <w:numPr>
                <w:ilvl w:val="0"/>
                <w:numId w:val="34"/>
              </w:numPr>
              <w:spacing w:before="40" w:after="40"/>
              <w:ind w:firstLine="7"/>
              <w:contextualSpacing/>
              <w:rPr>
                <w:rFonts w:cs="Arial"/>
              </w:rPr>
            </w:pPr>
            <w:r>
              <w:rPr>
                <w:rFonts w:cs="Arial"/>
              </w:rPr>
              <w:t>Students will conduct</w:t>
            </w:r>
            <w:r w:rsidR="002936BF">
              <w:rPr>
                <w:rFonts w:cs="Arial"/>
              </w:rPr>
              <w:t xml:space="preserve"> their 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2"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4"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5"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8"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94" w:rsidRDefault="00774894" w:rsidP="00500EB5">
      <w:r>
        <w:separator/>
      </w:r>
    </w:p>
  </w:endnote>
  <w:endnote w:type="continuationSeparator" w:id="0">
    <w:p w:rsidR="00774894" w:rsidRDefault="007748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Default="00F72B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F72BB4" w:rsidRDefault="00F7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12A74">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12A74">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94" w:rsidRDefault="00774894" w:rsidP="00500EB5">
      <w:r>
        <w:separator/>
      </w:r>
    </w:p>
  </w:footnote>
  <w:footnote w:type="continuationSeparator" w:id="0">
    <w:p w:rsidR="00774894" w:rsidRDefault="0077489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Default="00F72BB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Pr="00B65CE9" w:rsidRDefault="00F72B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4" w:rsidRDefault="00F72BB4"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CBD21398_0000[1]"/>
      </v:shape>
    </w:pict>
  </w:numPicBullet>
  <w:numPicBullet w:numPicBulletId="1">
    <w:pict>
      <v:shape id="_x0000_i1039" type="#_x0000_t75" style="width:13.8pt;height:13.8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6B04779"/>
    <w:multiLevelType w:val="hybridMultilevel"/>
    <w:tmpl w:val="6FE6492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1"/>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40"/>
  </w:num>
  <w:num w:numId="17">
    <w:abstractNumId w:val="0"/>
  </w:num>
  <w:num w:numId="18">
    <w:abstractNumId w:val="33"/>
  </w:num>
  <w:num w:numId="19">
    <w:abstractNumId w:val="14"/>
  </w:num>
  <w:num w:numId="20">
    <w:abstractNumId w:val="15"/>
  </w:num>
  <w:num w:numId="21">
    <w:abstractNumId w:val="34"/>
  </w:num>
  <w:num w:numId="22">
    <w:abstractNumId w:val="45"/>
  </w:num>
  <w:num w:numId="23">
    <w:abstractNumId w:val="29"/>
  </w:num>
  <w:num w:numId="24">
    <w:abstractNumId w:val="5"/>
  </w:num>
  <w:num w:numId="25">
    <w:abstractNumId w:val="10"/>
  </w:num>
  <w:num w:numId="26">
    <w:abstractNumId w:val="6"/>
  </w:num>
  <w:num w:numId="27">
    <w:abstractNumId w:val="37"/>
  </w:num>
  <w:num w:numId="28">
    <w:abstractNumId w:val="44"/>
  </w:num>
  <w:num w:numId="29">
    <w:abstractNumId w:val="23"/>
  </w:num>
  <w:num w:numId="30">
    <w:abstractNumId w:val="31"/>
  </w:num>
  <w:num w:numId="31">
    <w:abstractNumId w:val="2"/>
  </w:num>
  <w:num w:numId="32">
    <w:abstractNumId w:val="26"/>
  </w:num>
  <w:num w:numId="33">
    <w:abstractNumId w:val="20"/>
  </w:num>
  <w:num w:numId="34">
    <w:abstractNumId w:val="47"/>
  </w:num>
  <w:num w:numId="35">
    <w:abstractNumId w:val="42"/>
  </w:num>
  <w:num w:numId="36">
    <w:abstractNumId w:val="32"/>
  </w:num>
  <w:num w:numId="37">
    <w:abstractNumId w:val="1"/>
  </w:num>
  <w:num w:numId="38">
    <w:abstractNumId w:val="39"/>
  </w:num>
  <w:num w:numId="39">
    <w:abstractNumId w:val="3"/>
  </w:num>
  <w:num w:numId="40">
    <w:abstractNumId w:val="11"/>
  </w:num>
  <w:num w:numId="41">
    <w:abstractNumId w:val="36"/>
  </w:num>
  <w:num w:numId="42">
    <w:abstractNumId w:val="38"/>
  </w:num>
  <w:num w:numId="43">
    <w:abstractNumId w:val="43"/>
  </w:num>
  <w:num w:numId="44">
    <w:abstractNumId w:val="8"/>
  </w:num>
  <w:num w:numId="45">
    <w:abstractNumId w:val="17"/>
  </w:num>
  <w:num w:numId="46">
    <w:abstractNumId w:val="46"/>
  </w:num>
  <w:num w:numId="47">
    <w:abstractNumId w:val="4"/>
  </w:num>
  <w:num w:numId="4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0290"/>
    <w:rsid w:val="000F2225"/>
    <w:rsid w:val="000F67A4"/>
    <w:rsid w:val="001002EC"/>
    <w:rsid w:val="00112A74"/>
    <w:rsid w:val="00115B39"/>
    <w:rsid w:val="001263D8"/>
    <w:rsid w:val="0013194A"/>
    <w:rsid w:val="00132BB2"/>
    <w:rsid w:val="00132EC9"/>
    <w:rsid w:val="00145CDD"/>
    <w:rsid w:val="00147320"/>
    <w:rsid w:val="0015594F"/>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3A95"/>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E5768"/>
    <w:rsid w:val="002F098F"/>
    <w:rsid w:val="002F2908"/>
    <w:rsid w:val="002F35B1"/>
    <w:rsid w:val="002F7341"/>
    <w:rsid w:val="0031642F"/>
    <w:rsid w:val="003211B4"/>
    <w:rsid w:val="00322898"/>
    <w:rsid w:val="003254D4"/>
    <w:rsid w:val="00325D4C"/>
    <w:rsid w:val="00332228"/>
    <w:rsid w:val="0033567E"/>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63830"/>
    <w:rsid w:val="00480B58"/>
    <w:rsid w:val="00483D5C"/>
    <w:rsid w:val="004919CF"/>
    <w:rsid w:val="00493130"/>
    <w:rsid w:val="0049574B"/>
    <w:rsid w:val="004A1424"/>
    <w:rsid w:val="004A7820"/>
    <w:rsid w:val="004B1C5E"/>
    <w:rsid w:val="004B1D77"/>
    <w:rsid w:val="004B5764"/>
    <w:rsid w:val="004B644D"/>
    <w:rsid w:val="004B73D5"/>
    <w:rsid w:val="004C0198"/>
    <w:rsid w:val="004D02C1"/>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85361"/>
    <w:rsid w:val="00690D10"/>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4894"/>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431C5"/>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338B"/>
    <w:rsid w:val="009D5E32"/>
    <w:rsid w:val="009E182F"/>
    <w:rsid w:val="009E2AD7"/>
    <w:rsid w:val="009E414F"/>
    <w:rsid w:val="009E4D5B"/>
    <w:rsid w:val="009F2336"/>
    <w:rsid w:val="009F2DDE"/>
    <w:rsid w:val="00A058C0"/>
    <w:rsid w:val="00A05DAD"/>
    <w:rsid w:val="00A1362C"/>
    <w:rsid w:val="00A1744B"/>
    <w:rsid w:val="00A23F84"/>
    <w:rsid w:val="00A24DD8"/>
    <w:rsid w:val="00A53973"/>
    <w:rsid w:val="00A552ED"/>
    <w:rsid w:val="00A62FBB"/>
    <w:rsid w:val="00A652E9"/>
    <w:rsid w:val="00A6719F"/>
    <w:rsid w:val="00A73868"/>
    <w:rsid w:val="00A86230"/>
    <w:rsid w:val="00A86CEA"/>
    <w:rsid w:val="00A94AAC"/>
    <w:rsid w:val="00AA7A65"/>
    <w:rsid w:val="00AB0703"/>
    <w:rsid w:val="00AB3A85"/>
    <w:rsid w:val="00AC03D8"/>
    <w:rsid w:val="00AD00E2"/>
    <w:rsid w:val="00AD3037"/>
    <w:rsid w:val="00AD3943"/>
    <w:rsid w:val="00AE4BBE"/>
    <w:rsid w:val="00AF4ADA"/>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5A61"/>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9655C"/>
  <w15:docId w15:val="{26243985-DC5B-48B9-953D-238748E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s://engemannshc.usc.edu/counseling/" TargetMode="External"/><Relationship Id="rId42" Type="http://schemas.openxmlformats.org/officeDocument/2006/relationships/hyperlink" Target="mailto:araqu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policy.usc.edu/scientific-misconduct/" TargetMode="External"/><Relationship Id="rId38" Type="http://schemas.openxmlformats.org/officeDocument/2006/relationships/hyperlink" Target="https://equit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https://policy.usc.edu/scampus-part-b/" TargetMode="External"/><Relationship Id="rId37" Type="http://schemas.openxmlformats.org/officeDocument/2006/relationships/hyperlink" Target="http://sarc.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s://engemannshc.usc.edu/rsvp/"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97F2-FEB1-4046-929B-241EF66A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40264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Karen Pinkney</cp:lastModifiedBy>
  <cp:revision>2</cp:revision>
  <cp:lastPrinted>2016-08-15T17:33:00Z</cp:lastPrinted>
  <dcterms:created xsi:type="dcterms:W3CDTF">2018-04-24T02:19:00Z</dcterms:created>
  <dcterms:modified xsi:type="dcterms:W3CDTF">2018-04-24T02:19:00Z</dcterms:modified>
</cp:coreProperties>
</file>