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67758" w14:textId="41B8C25F" w:rsidR="0011435D" w:rsidRPr="0011435D" w:rsidRDefault="0011435D" w:rsidP="0011435D">
      <w:pPr>
        <w:pBdr>
          <w:top w:val="single" w:sz="6" w:space="1" w:color="auto"/>
          <w:left w:val="single" w:sz="6" w:space="1" w:color="auto"/>
          <w:bottom w:val="single" w:sz="6" w:space="1" w:color="auto"/>
          <w:right w:val="single" w:sz="6" w:space="1" w:color="auto"/>
        </w:pBdr>
        <w:shd w:val="clear" w:color="auto" w:fill="EEECE1" w:themeFill="background2"/>
        <w:jc w:val="center"/>
        <w:outlineLvl w:val="0"/>
        <w:rPr>
          <w:rFonts w:ascii="Calibri" w:hAnsi="Calibri" w:cs="Arial"/>
          <w:sz w:val="22"/>
          <w:szCs w:val="22"/>
        </w:rPr>
      </w:pPr>
      <w:r w:rsidRPr="0011435D">
        <w:rPr>
          <w:rFonts w:ascii="Calibri" w:hAnsi="Calibri" w:cs="Arial"/>
          <w:b/>
          <w:sz w:val="22"/>
          <w:szCs w:val="22"/>
        </w:rPr>
        <w:t>CORE 200: LIBERAL ARTS READING SALON</w:t>
      </w:r>
    </w:p>
    <w:p w14:paraId="374F06A4" w14:textId="77777777" w:rsidR="00BE5FFC" w:rsidRPr="0011435D" w:rsidRDefault="00BE5FFC" w:rsidP="00BE5FFC">
      <w:pPr>
        <w:rPr>
          <w:rFonts w:ascii="Calibri" w:hAnsi="Calibri"/>
          <w:sz w:val="22"/>
          <w:szCs w:val="22"/>
        </w:rPr>
      </w:pPr>
    </w:p>
    <w:p w14:paraId="6DBE9C64" w14:textId="423D76F3" w:rsidR="00BE5FFC" w:rsidRPr="00F2046A" w:rsidRDefault="00BE5FFC" w:rsidP="00BE5FFC">
      <w:pPr>
        <w:rPr>
          <w:rFonts w:ascii="Calibri" w:hAnsi="Calibri"/>
          <w:b/>
          <w:sz w:val="22"/>
          <w:szCs w:val="22"/>
        </w:rPr>
      </w:pPr>
      <w:r w:rsidRPr="00F2046A">
        <w:rPr>
          <w:rFonts w:ascii="Calibri" w:hAnsi="Calibri"/>
          <w:b/>
          <w:sz w:val="22"/>
          <w:szCs w:val="22"/>
        </w:rPr>
        <w:t>Dr. Trisha Tucker</w:t>
      </w:r>
      <w:r w:rsidRPr="00F2046A">
        <w:rPr>
          <w:rFonts w:ascii="Calibri" w:hAnsi="Calibri"/>
          <w:b/>
          <w:sz w:val="22"/>
          <w:szCs w:val="22"/>
        </w:rPr>
        <w:tab/>
      </w:r>
      <w:r w:rsidRPr="00F2046A">
        <w:rPr>
          <w:rFonts w:ascii="Calibri" w:hAnsi="Calibri"/>
          <w:b/>
          <w:sz w:val="22"/>
          <w:szCs w:val="22"/>
        </w:rPr>
        <w:tab/>
      </w:r>
    </w:p>
    <w:p w14:paraId="448287DD" w14:textId="19C672E7" w:rsidR="00BE5FFC" w:rsidRDefault="00BE5FFC" w:rsidP="00BE5FFC">
      <w:pPr>
        <w:rPr>
          <w:rFonts w:ascii="Calibri" w:hAnsi="Calibri"/>
          <w:b/>
          <w:sz w:val="22"/>
          <w:szCs w:val="22"/>
          <w:lang w:bidi="en-US"/>
        </w:rPr>
      </w:pPr>
    </w:p>
    <w:p w14:paraId="6D32B6F8" w14:textId="5A7E2DF8" w:rsidR="00F2046A" w:rsidRDefault="00F2046A" w:rsidP="00BE5FFC">
      <w:pPr>
        <w:rPr>
          <w:rFonts w:ascii="Calibri" w:hAnsi="Calibri"/>
          <w:sz w:val="22"/>
          <w:szCs w:val="22"/>
          <w:lang w:bidi="en-US"/>
        </w:rPr>
      </w:pPr>
      <w:r>
        <w:rPr>
          <w:rFonts w:ascii="Calibri" w:hAnsi="Calibri"/>
          <w:b/>
          <w:sz w:val="22"/>
          <w:szCs w:val="22"/>
          <w:lang w:bidi="en-US"/>
        </w:rPr>
        <w:t>Lecture</w:t>
      </w:r>
      <w:r>
        <w:rPr>
          <w:rFonts w:ascii="Calibri" w:hAnsi="Calibri"/>
          <w:b/>
          <w:sz w:val="22"/>
          <w:szCs w:val="22"/>
          <w:lang w:bidi="en-US"/>
        </w:rPr>
        <w:tab/>
      </w:r>
      <w:r>
        <w:rPr>
          <w:rFonts w:ascii="Calibri" w:hAnsi="Calibri"/>
          <w:b/>
          <w:sz w:val="22"/>
          <w:szCs w:val="22"/>
          <w:lang w:bidi="en-US"/>
        </w:rPr>
        <w:tab/>
      </w:r>
      <w:r>
        <w:rPr>
          <w:rFonts w:ascii="Calibri" w:hAnsi="Calibri"/>
          <w:sz w:val="22"/>
          <w:szCs w:val="22"/>
          <w:lang w:bidi="en-US"/>
        </w:rPr>
        <w:t>W</w:t>
      </w:r>
      <w:r>
        <w:rPr>
          <w:rFonts w:ascii="Calibri" w:hAnsi="Calibri"/>
          <w:sz w:val="22"/>
          <w:szCs w:val="22"/>
          <w:lang w:bidi="en-US"/>
        </w:rPr>
        <w:tab/>
        <w:t>4-5:50</w:t>
      </w:r>
      <w:r>
        <w:rPr>
          <w:rFonts w:ascii="Calibri" w:hAnsi="Calibri"/>
          <w:sz w:val="22"/>
          <w:szCs w:val="22"/>
          <w:lang w:bidi="en-US"/>
        </w:rPr>
        <w:tab/>
      </w:r>
      <w:r>
        <w:rPr>
          <w:rFonts w:ascii="Calibri" w:hAnsi="Calibri"/>
          <w:sz w:val="22"/>
          <w:szCs w:val="22"/>
          <w:lang w:bidi="en-US"/>
        </w:rPr>
        <w:tab/>
        <w:t>63568D</w:t>
      </w:r>
    </w:p>
    <w:p w14:paraId="48C2111C" w14:textId="77777777" w:rsidR="00F2046A" w:rsidRPr="00F2046A" w:rsidRDefault="00F2046A" w:rsidP="00BE5FFC">
      <w:pPr>
        <w:rPr>
          <w:rFonts w:ascii="Calibri" w:hAnsi="Calibri"/>
          <w:sz w:val="22"/>
          <w:szCs w:val="22"/>
          <w:lang w:bidi="en-US"/>
        </w:rPr>
      </w:pPr>
    </w:p>
    <w:p w14:paraId="5EA2F38A" w14:textId="77777777" w:rsidR="00BE5FFC" w:rsidRPr="0011435D" w:rsidRDefault="00BE5FFC" w:rsidP="00BE5FFC">
      <w:pPr>
        <w:jc w:val="center"/>
        <w:rPr>
          <w:rFonts w:ascii="Calibri" w:hAnsi="Calibri"/>
          <w:b/>
          <w:sz w:val="22"/>
          <w:szCs w:val="22"/>
          <w:lang w:bidi="en-US"/>
        </w:rPr>
      </w:pPr>
      <w:r w:rsidRPr="0011435D">
        <w:rPr>
          <w:rFonts w:ascii="Calibri" w:hAnsi="Calibri"/>
          <w:b/>
          <w:sz w:val="22"/>
          <w:szCs w:val="22"/>
          <w:lang w:bidi="en-US"/>
        </w:rPr>
        <w:t xml:space="preserve">Read This, Not </w:t>
      </w:r>
      <w:proofErr w:type="gramStart"/>
      <w:r w:rsidRPr="0011435D">
        <w:rPr>
          <w:rFonts w:ascii="Calibri" w:hAnsi="Calibri"/>
          <w:b/>
          <w:sz w:val="22"/>
          <w:szCs w:val="22"/>
          <w:lang w:bidi="en-US"/>
        </w:rPr>
        <w:t>That!:</w:t>
      </w:r>
      <w:proofErr w:type="gramEnd"/>
    </w:p>
    <w:p w14:paraId="2C65CF33" w14:textId="23BB1088" w:rsidR="00BE5FFC" w:rsidRPr="0011435D" w:rsidRDefault="009C2AD9" w:rsidP="00BE5FFC">
      <w:pPr>
        <w:jc w:val="center"/>
        <w:rPr>
          <w:rFonts w:ascii="Calibri" w:hAnsi="Calibri"/>
          <w:b/>
          <w:sz w:val="22"/>
          <w:szCs w:val="22"/>
          <w:lang w:bidi="en-US"/>
        </w:rPr>
      </w:pPr>
      <w:r w:rsidRPr="0011435D">
        <w:rPr>
          <w:rFonts w:ascii="Calibri" w:hAnsi="Calibri"/>
          <w:b/>
          <w:sz w:val="22"/>
          <w:szCs w:val="22"/>
          <w:lang w:bidi="en-US"/>
        </w:rPr>
        <w:t>Masterpieces</w:t>
      </w:r>
      <w:r w:rsidR="0000785D" w:rsidRPr="0011435D">
        <w:rPr>
          <w:rFonts w:ascii="Calibri" w:hAnsi="Calibri"/>
          <w:b/>
          <w:sz w:val="22"/>
          <w:szCs w:val="22"/>
          <w:lang w:bidi="en-US"/>
        </w:rPr>
        <w:t>,</w:t>
      </w:r>
      <w:r w:rsidRPr="0011435D">
        <w:rPr>
          <w:rFonts w:ascii="Calibri" w:hAnsi="Calibri"/>
          <w:b/>
          <w:sz w:val="22"/>
          <w:szCs w:val="22"/>
          <w:lang w:bidi="en-US"/>
        </w:rPr>
        <w:t xml:space="preserve"> Best Sellers,</w:t>
      </w:r>
      <w:r w:rsidR="0000785D" w:rsidRPr="0011435D">
        <w:rPr>
          <w:rFonts w:ascii="Calibri" w:hAnsi="Calibri"/>
          <w:b/>
          <w:sz w:val="22"/>
          <w:szCs w:val="22"/>
          <w:lang w:bidi="en-US"/>
        </w:rPr>
        <w:t xml:space="preserve"> </w:t>
      </w:r>
      <w:r w:rsidR="00BE5FFC" w:rsidRPr="0011435D">
        <w:rPr>
          <w:rFonts w:ascii="Calibri" w:hAnsi="Calibri"/>
          <w:b/>
          <w:sz w:val="22"/>
          <w:szCs w:val="22"/>
          <w:lang w:bidi="en-US"/>
        </w:rPr>
        <w:t>and Other Books to Read Before You Die</w:t>
      </w:r>
    </w:p>
    <w:p w14:paraId="1D3AFD2B" w14:textId="77777777" w:rsidR="00BE5FFC" w:rsidRPr="0011435D" w:rsidRDefault="00BE5FFC" w:rsidP="00A04DF9">
      <w:pPr>
        <w:rPr>
          <w:rFonts w:ascii="Calibri" w:hAnsi="Calibri"/>
          <w:b/>
          <w:sz w:val="22"/>
          <w:szCs w:val="22"/>
          <w:lang w:bidi="en-US"/>
        </w:rPr>
      </w:pPr>
    </w:p>
    <w:p w14:paraId="0CD038EB" w14:textId="42217D08" w:rsidR="00BE5FFC" w:rsidRPr="0011435D" w:rsidRDefault="00BE5FFC" w:rsidP="00F2046A">
      <w:pPr>
        <w:ind w:firstLine="720"/>
        <w:rPr>
          <w:rFonts w:ascii="Calibri" w:hAnsi="Calibri"/>
          <w:bCs/>
          <w:sz w:val="22"/>
          <w:szCs w:val="22"/>
          <w:lang w:bidi="en-US"/>
        </w:rPr>
      </w:pPr>
      <w:r w:rsidRPr="0011435D">
        <w:rPr>
          <w:rFonts w:ascii="Calibri" w:hAnsi="Calibri"/>
          <w:bCs/>
          <w:sz w:val="22"/>
          <w:szCs w:val="22"/>
          <w:lang w:bidi="en-US"/>
        </w:rPr>
        <w:t xml:space="preserve">All book lovers wrestle with the same fundamental dilemma: so many books, so little time. Many of us start pondering what we should read next even before we’ve finished our current book. The “what’s next?” question can be a daunting one. With so many choices out there, how can </w:t>
      </w:r>
      <w:r w:rsidR="000C7AE2" w:rsidRPr="0011435D">
        <w:rPr>
          <w:rFonts w:ascii="Calibri" w:hAnsi="Calibri"/>
          <w:bCs/>
          <w:sz w:val="22"/>
          <w:szCs w:val="22"/>
          <w:lang w:bidi="en-US"/>
        </w:rPr>
        <w:t xml:space="preserve">we </w:t>
      </w:r>
      <w:r w:rsidR="009359DD" w:rsidRPr="0011435D">
        <w:rPr>
          <w:rFonts w:ascii="Calibri" w:hAnsi="Calibri"/>
          <w:bCs/>
          <w:sz w:val="22"/>
          <w:szCs w:val="22"/>
          <w:lang w:bidi="en-US"/>
        </w:rPr>
        <w:t>be confident</w:t>
      </w:r>
      <w:r w:rsidRPr="0011435D">
        <w:rPr>
          <w:rFonts w:ascii="Calibri" w:hAnsi="Calibri"/>
          <w:bCs/>
          <w:sz w:val="22"/>
          <w:szCs w:val="22"/>
          <w:lang w:bidi="en-US"/>
        </w:rPr>
        <w:t xml:space="preserve"> we’re reading the best</w:t>
      </w:r>
      <w:r w:rsidR="000C7AE2" w:rsidRPr="0011435D">
        <w:rPr>
          <w:rFonts w:ascii="Calibri" w:hAnsi="Calibri"/>
          <w:bCs/>
          <w:sz w:val="22"/>
          <w:szCs w:val="22"/>
          <w:lang w:bidi="en-US"/>
        </w:rPr>
        <w:t xml:space="preserve"> books</w:t>
      </w:r>
      <w:r w:rsidRPr="0011435D">
        <w:rPr>
          <w:rFonts w:ascii="Calibri" w:hAnsi="Calibri"/>
          <w:bCs/>
          <w:sz w:val="22"/>
          <w:szCs w:val="22"/>
          <w:lang w:bidi="en-US"/>
        </w:rPr>
        <w:t>—the most beautiful, the most powerful, the most memorable, the most important? Sure, we can collect recommendations from friends and advisors, stalk the aisles of our favorite bookstore, and make endless reading lists for summer vacation, but that feels so haphazard. Isn’t there a better way to ensure we’re not missing the world’s most wonderful books?</w:t>
      </w:r>
    </w:p>
    <w:p w14:paraId="2BFF6FA8" w14:textId="3F5209F2" w:rsidR="00BE5FFC" w:rsidRPr="0011435D" w:rsidRDefault="005E1E9D" w:rsidP="00F2046A">
      <w:pPr>
        <w:ind w:firstLine="720"/>
        <w:rPr>
          <w:rFonts w:ascii="Calibri" w:hAnsi="Calibri"/>
          <w:bCs/>
          <w:sz w:val="22"/>
          <w:szCs w:val="22"/>
          <w:lang w:bidi="en-US"/>
        </w:rPr>
      </w:pPr>
      <w:r w:rsidRPr="0011435D">
        <w:rPr>
          <w:rFonts w:ascii="Calibri" w:hAnsi="Calibri"/>
          <w:bCs/>
          <w:sz w:val="22"/>
          <w:szCs w:val="22"/>
          <w:lang w:bidi="en-US"/>
        </w:rPr>
        <w:t>Some people</w:t>
      </w:r>
      <w:r w:rsidR="0067652C" w:rsidRPr="0011435D">
        <w:rPr>
          <w:rFonts w:ascii="Calibri" w:hAnsi="Calibri"/>
          <w:bCs/>
          <w:sz w:val="22"/>
          <w:szCs w:val="22"/>
          <w:lang w:bidi="en-US"/>
        </w:rPr>
        <w:t xml:space="preserve"> think</w:t>
      </w:r>
      <w:r w:rsidRPr="0011435D">
        <w:rPr>
          <w:rFonts w:ascii="Calibri" w:hAnsi="Calibri"/>
          <w:bCs/>
          <w:sz w:val="22"/>
          <w:szCs w:val="22"/>
          <w:lang w:bidi="en-US"/>
        </w:rPr>
        <w:t xml:space="preserve"> </w:t>
      </w:r>
      <w:r w:rsidR="005F7E8A" w:rsidRPr="0011435D">
        <w:rPr>
          <w:rFonts w:ascii="Calibri" w:hAnsi="Calibri"/>
          <w:bCs/>
          <w:sz w:val="22"/>
          <w:szCs w:val="22"/>
          <w:lang w:bidi="en-US"/>
        </w:rPr>
        <w:t xml:space="preserve">that </w:t>
      </w:r>
      <w:r w:rsidRPr="0011435D">
        <w:rPr>
          <w:rFonts w:ascii="Calibri" w:hAnsi="Calibri"/>
          <w:bCs/>
          <w:sz w:val="22"/>
          <w:szCs w:val="22"/>
          <w:lang w:bidi="en-US"/>
        </w:rPr>
        <w:t>there is.</w:t>
      </w:r>
      <w:r w:rsidR="00BE5FFC" w:rsidRPr="0011435D">
        <w:rPr>
          <w:rFonts w:ascii="Calibri" w:hAnsi="Calibri"/>
          <w:bCs/>
          <w:sz w:val="22"/>
          <w:szCs w:val="22"/>
          <w:lang w:bidi="en-US"/>
        </w:rPr>
        <w:t xml:space="preserve"> </w:t>
      </w:r>
      <w:r w:rsidR="00AD62D4" w:rsidRPr="0011435D">
        <w:rPr>
          <w:rFonts w:ascii="Calibri" w:hAnsi="Calibri"/>
          <w:bCs/>
          <w:sz w:val="22"/>
          <w:szCs w:val="22"/>
          <w:lang w:bidi="en-US"/>
        </w:rPr>
        <w:t xml:space="preserve">In fact, experts have created a variety of </w:t>
      </w:r>
      <w:r w:rsidR="00B16FDA" w:rsidRPr="0011435D">
        <w:rPr>
          <w:rFonts w:ascii="Calibri" w:hAnsi="Calibri"/>
          <w:bCs/>
          <w:sz w:val="22"/>
          <w:szCs w:val="22"/>
          <w:lang w:bidi="en-US"/>
        </w:rPr>
        <w:t>handy</w:t>
      </w:r>
      <w:r w:rsidR="00AD62D4" w:rsidRPr="0011435D">
        <w:rPr>
          <w:rFonts w:ascii="Calibri" w:hAnsi="Calibri"/>
          <w:bCs/>
          <w:sz w:val="22"/>
          <w:szCs w:val="22"/>
          <w:lang w:bidi="en-US"/>
        </w:rPr>
        <w:t xml:space="preserve"> lists t</w:t>
      </w:r>
      <w:r w:rsidR="00BE5FFC" w:rsidRPr="0011435D">
        <w:rPr>
          <w:rFonts w:ascii="Calibri" w:hAnsi="Calibri"/>
          <w:bCs/>
          <w:sz w:val="22"/>
          <w:szCs w:val="22"/>
          <w:lang w:bidi="en-US"/>
        </w:rPr>
        <w:t xml:space="preserve">o </w:t>
      </w:r>
      <w:r w:rsidR="0036188E" w:rsidRPr="0011435D">
        <w:rPr>
          <w:rFonts w:ascii="Calibri" w:hAnsi="Calibri"/>
          <w:bCs/>
          <w:sz w:val="22"/>
          <w:szCs w:val="22"/>
          <w:lang w:bidi="en-US"/>
        </w:rPr>
        <w:t xml:space="preserve">help us determine which </w:t>
      </w:r>
      <w:r w:rsidR="005404DD" w:rsidRPr="0011435D">
        <w:rPr>
          <w:rFonts w:ascii="Calibri" w:hAnsi="Calibri"/>
          <w:bCs/>
          <w:sz w:val="22"/>
          <w:szCs w:val="22"/>
          <w:lang w:bidi="en-US"/>
        </w:rPr>
        <w:t>books are</w:t>
      </w:r>
      <w:r w:rsidR="00AD62D4" w:rsidRPr="0011435D">
        <w:rPr>
          <w:rFonts w:ascii="Calibri" w:hAnsi="Calibri"/>
          <w:bCs/>
          <w:sz w:val="22"/>
          <w:szCs w:val="22"/>
          <w:lang w:bidi="en-US"/>
        </w:rPr>
        <w:t xml:space="preserve"> </w:t>
      </w:r>
      <w:r w:rsidR="00BE5FFC" w:rsidRPr="0011435D">
        <w:rPr>
          <w:rFonts w:ascii="Calibri" w:hAnsi="Calibri"/>
          <w:bCs/>
          <w:sz w:val="22"/>
          <w:szCs w:val="22"/>
          <w:lang w:bidi="en-US"/>
        </w:rPr>
        <w:t xml:space="preserve">“can’t miss” and </w:t>
      </w:r>
      <w:r w:rsidR="0036188E" w:rsidRPr="0011435D">
        <w:rPr>
          <w:rFonts w:ascii="Calibri" w:hAnsi="Calibri"/>
          <w:bCs/>
          <w:sz w:val="22"/>
          <w:szCs w:val="22"/>
          <w:lang w:bidi="en-US"/>
        </w:rPr>
        <w:t>which</w:t>
      </w:r>
      <w:r w:rsidR="00FB5186" w:rsidRPr="0011435D">
        <w:rPr>
          <w:rFonts w:ascii="Calibri" w:hAnsi="Calibri"/>
          <w:bCs/>
          <w:sz w:val="22"/>
          <w:szCs w:val="22"/>
          <w:lang w:bidi="en-US"/>
        </w:rPr>
        <w:t xml:space="preserve"> </w:t>
      </w:r>
      <w:r w:rsidR="00AD62D4" w:rsidRPr="0011435D">
        <w:rPr>
          <w:rFonts w:ascii="Calibri" w:hAnsi="Calibri"/>
          <w:bCs/>
          <w:sz w:val="22"/>
          <w:szCs w:val="22"/>
          <w:lang w:bidi="en-US"/>
        </w:rPr>
        <w:t>aren’t worth our time</w:t>
      </w:r>
      <w:r w:rsidR="00B16FDA" w:rsidRPr="0011435D">
        <w:rPr>
          <w:rFonts w:ascii="Calibri" w:hAnsi="Calibri"/>
          <w:bCs/>
          <w:sz w:val="22"/>
          <w:szCs w:val="22"/>
          <w:lang w:bidi="en-US"/>
        </w:rPr>
        <w:t>. The most famous</w:t>
      </w:r>
      <w:r w:rsidR="0036188E" w:rsidRPr="0011435D">
        <w:rPr>
          <w:rFonts w:ascii="Calibri" w:hAnsi="Calibri"/>
          <w:bCs/>
          <w:sz w:val="22"/>
          <w:szCs w:val="22"/>
          <w:lang w:bidi="en-US"/>
        </w:rPr>
        <w:t xml:space="preserve"> list</w:t>
      </w:r>
      <w:r w:rsidR="00AD62D4" w:rsidRPr="0011435D">
        <w:rPr>
          <w:rFonts w:ascii="Calibri" w:hAnsi="Calibri"/>
          <w:bCs/>
          <w:sz w:val="22"/>
          <w:szCs w:val="22"/>
          <w:lang w:bidi="en-US"/>
        </w:rPr>
        <w:t xml:space="preserve"> </w:t>
      </w:r>
      <w:r w:rsidR="00BE5FFC" w:rsidRPr="0011435D">
        <w:rPr>
          <w:rFonts w:ascii="Calibri" w:hAnsi="Calibri"/>
          <w:bCs/>
          <w:sz w:val="22"/>
          <w:szCs w:val="22"/>
          <w:lang w:bidi="en-US"/>
        </w:rPr>
        <w:t xml:space="preserve">is probably the Modern Library’s Top 100, but </w:t>
      </w:r>
      <w:r w:rsidR="00BE5FFC" w:rsidRPr="0011435D">
        <w:rPr>
          <w:rFonts w:ascii="Calibri" w:hAnsi="Calibri"/>
          <w:bCs/>
          <w:i/>
          <w:sz w:val="22"/>
          <w:szCs w:val="22"/>
          <w:lang w:bidi="en-US"/>
        </w:rPr>
        <w:t>Le Monde</w:t>
      </w:r>
      <w:r w:rsidR="00BE5FFC" w:rsidRPr="0011435D">
        <w:rPr>
          <w:rFonts w:ascii="Calibri" w:hAnsi="Calibri"/>
          <w:bCs/>
          <w:sz w:val="22"/>
          <w:szCs w:val="22"/>
          <w:lang w:bidi="en-US"/>
        </w:rPr>
        <w:t>,</w:t>
      </w:r>
      <w:r w:rsidR="00B16FDA" w:rsidRPr="0011435D">
        <w:rPr>
          <w:rFonts w:ascii="Calibri" w:hAnsi="Calibri"/>
          <w:bCs/>
          <w:sz w:val="22"/>
          <w:szCs w:val="22"/>
          <w:lang w:bidi="en-US"/>
        </w:rPr>
        <w:t xml:space="preserve"> </w:t>
      </w:r>
      <w:r w:rsidR="0036188E" w:rsidRPr="0011435D">
        <w:rPr>
          <w:rFonts w:ascii="Calibri" w:hAnsi="Calibri"/>
          <w:bCs/>
          <w:i/>
          <w:sz w:val="22"/>
          <w:szCs w:val="22"/>
          <w:lang w:bidi="en-US"/>
        </w:rPr>
        <w:t>Time</w:t>
      </w:r>
      <w:r w:rsidR="0036188E" w:rsidRPr="0011435D">
        <w:rPr>
          <w:rFonts w:ascii="Calibri" w:hAnsi="Calibri"/>
          <w:bCs/>
          <w:sz w:val="22"/>
          <w:szCs w:val="22"/>
          <w:lang w:bidi="en-US"/>
        </w:rPr>
        <w:t xml:space="preserve">, </w:t>
      </w:r>
      <w:r w:rsidR="00B16FDA" w:rsidRPr="0011435D">
        <w:rPr>
          <w:rFonts w:ascii="Calibri" w:hAnsi="Calibri"/>
          <w:bCs/>
          <w:sz w:val="22"/>
          <w:szCs w:val="22"/>
          <w:lang w:bidi="en-US"/>
        </w:rPr>
        <w:t>NPR,</w:t>
      </w:r>
      <w:r w:rsidR="00BE5FFC" w:rsidRPr="0011435D">
        <w:rPr>
          <w:rFonts w:ascii="Calibri" w:hAnsi="Calibri"/>
          <w:bCs/>
          <w:sz w:val="22"/>
          <w:szCs w:val="22"/>
          <w:lang w:bidi="en-US"/>
        </w:rPr>
        <w:t xml:space="preserve"> </w:t>
      </w:r>
      <w:r w:rsidR="00B16FDA" w:rsidRPr="0011435D">
        <w:rPr>
          <w:rFonts w:ascii="Calibri" w:hAnsi="Calibri"/>
          <w:bCs/>
          <w:sz w:val="22"/>
          <w:szCs w:val="22"/>
          <w:lang w:bidi="en-US"/>
        </w:rPr>
        <w:t>t</w:t>
      </w:r>
      <w:r w:rsidR="00BE5FFC" w:rsidRPr="0011435D">
        <w:rPr>
          <w:rFonts w:ascii="Calibri" w:hAnsi="Calibri"/>
          <w:bCs/>
          <w:sz w:val="22"/>
          <w:szCs w:val="22"/>
          <w:lang w:bidi="en-US"/>
        </w:rPr>
        <w:t>he</w:t>
      </w:r>
      <w:r w:rsidR="00BE5FFC" w:rsidRPr="0011435D">
        <w:rPr>
          <w:rFonts w:ascii="Calibri" w:hAnsi="Calibri"/>
          <w:bCs/>
          <w:i/>
          <w:sz w:val="22"/>
          <w:szCs w:val="22"/>
          <w:lang w:bidi="en-US"/>
        </w:rPr>
        <w:t xml:space="preserve"> Telegraph,</w:t>
      </w:r>
      <w:r w:rsidR="00B16FDA" w:rsidRPr="0011435D">
        <w:rPr>
          <w:rFonts w:ascii="Calibri" w:hAnsi="Calibri"/>
          <w:bCs/>
          <w:i/>
          <w:sz w:val="22"/>
          <w:szCs w:val="22"/>
          <w:lang w:bidi="en-US"/>
        </w:rPr>
        <w:t xml:space="preserve"> </w:t>
      </w:r>
      <w:r w:rsidR="00B16FDA" w:rsidRPr="0011435D">
        <w:rPr>
          <w:rFonts w:ascii="Calibri" w:hAnsi="Calibri"/>
          <w:bCs/>
          <w:sz w:val="22"/>
          <w:szCs w:val="22"/>
          <w:lang w:bidi="en-US"/>
        </w:rPr>
        <w:t>and the</w:t>
      </w:r>
      <w:r w:rsidR="00B16FDA" w:rsidRPr="0011435D">
        <w:rPr>
          <w:rFonts w:ascii="Calibri" w:hAnsi="Calibri"/>
          <w:bCs/>
          <w:i/>
          <w:sz w:val="22"/>
          <w:szCs w:val="22"/>
          <w:lang w:bidi="en-US"/>
        </w:rPr>
        <w:t xml:space="preserve"> </w:t>
      </w:r>
      <w:r w:rsidR="00BE5FFC" w:rsidRPr="0011435D">
        <w:rPr>
          <w:rFonts w:ascii="Calibri" w:hAnsi="Calibri"/>
          <w:bCs/>
          <w:i/>
          <w:sz w:val="22"/>
          <w:szCs w:val="22"/>
          <w:lang w:bidi="en-US"/>
        </w:rPr>
        <w:t>Guardian</w:t>
      </w:r>
      <w:r w:rsidR="00B16FDA" w:rsidRPr="0011435D">
        <w:rPr>
          <w:rFonts w:ascii="Calibri" w:hAnsi="Calibri"/>
          <w:bCs/>
          <w:sz w:val="22"/>
          <w:szCs w:val="22"/>
          <w:lang w:bidi="en-US"/>
        </w:rPr>
        <w:t xml:space="preserve"> have all created “best of” lists</w:t>
      </w:r>
      <w:r w:rsidR="005F7E8A" w:rsidRPr="0011435D">
        <w:rPr>
          <w:rFonts w:ascii="Calibri" w:hAnsi="Calibri"/>
          <w:bCs/>
          <w:sz w:val="22"/>
          <w:szCs w:val="22"/>
          <w:lang w:bidi="en-US"/>
        </w:rPr>
        <w:t xml:space="preserve"> of their own</w:t>
      </w:r>
      <w:r w:rsidR="003913E6" w:rsidRPr="0011435D">
        <w:rPr>
          <w:rFonts w:ascii="Calibri" w:hAnsi="Calibri"/>
          <w:bCs/>
          <w:sz w:val="22"/>
          <w:szCs w:val="22"/>
          <w:lang w:bidi="en-US"/>
        </w:rPr>
        <w:t xml:space="preserve">. </w:t>
      </w:r>
      <w:r w:rsidR="005F7E8A" w:rsidRPr="0011435D">
        <w:rPr>
          <w:rFonts w:ascii="Calibri" w:hAnsi="Calibri"/>
          <w:bCs/>
          <w:sz w:val="22"/>
          <w:szCs w:val="22"/>
          <w:lang w:bidi="en-US"/>
        </w:rPr>
        <w:t>Many r</w:t>
      </w:r>
      <w:r w:rsidR="00B16FDA" w:rsidRPr="0011435D">
        <w:rPr>
          <w:rFonts w:ascii="Calibri" w:hAnsi="Calibri"/>
          <w:bCs/>
          <w:sz w:val="22"/>
          <w:szCs w:val="22"/>
          <w:lang w:bidi="en-US"/>
        </w:rPr>
        <w:t xml:space="preserve">eaders welcome such guides, </w:t>
      </w:r>
      <w:r w:rsidR="005F7E8A" w:rsidRPr="0011435D">
        <w:rPr>
          <w:rFonts w:ascii="Calibri" w:hAnsi="Calibri"/>
          <w:bCs/>
          <w:sz w:val="22"/>
          <w:szCs w:val="22"/>
          <w:lang w:bidi="en-US"/>
        </w:rPr>
        <w:t xml:space="preserve">but </w:t>
      </w:r>
      <w:r w:rsidR="0036188E" w:rsidRPr="0011435D">
        <w:rPr>
          <w:rFonts w:ascii="Calibri" w:hAnsi="Calibri"/>
          <w:bCs/>
          <w:sz w:val="22"/>
          <w:szCs w:val="22"/>
          <w:lang w:bidi="en-US"/>
        </w:rPr>
        <w:t xml:space="preserve">lists </w:t>
      </w:r>
      <w:r w:rsidR="005404DD" w:rsidRPr="0011435D">
        <w:rPr>
          <w:rFonts w:ascii="Calibri" w:hAnsi="Calibri"/>
          <w:bCs/>
          <w:sz w:val="22"/>
          <w:szCs w:val="22"/>
          <w:lang w:bidi="en-US"/>
        </w:rPr>
        <w:t xml:space="preserve">like these </w:t>
      </w:r>
      <w:r w:rsidR="007823CA" w:rsidRPr="0011435D">
        <w:rPr>
          <w:rFonts w:ascii="Calibri" w:hAnsi="Calibri"/>
          <w:bCs/>
          <w:sz w:val="22"/>
          <w:szCs w:val="22"/>
          <w:lang w:bidi="en-US"/>
        </w:rPr>
        <w:t>also raise</w:t>
      </w:r>
      <w:r w:rsidR="005404DD" w:rsidRPr="0011435D">
        <w:rPr>
          <w:rFonts w:ascii="Calibri" w:hAnsi="Calibri"/>
          <w:bCs/>
          <w:sz w:val="22"/>
          <w:szCs w:val="22"/>
          <w:lang w:bidi="en-US"/>
        </w:rPr>
        <w:t xml:space="preserve"> a lot of questions</w:t>
      </w:r>
      <w:r w:rsidR="00BE5FFC" w:rsidRPr="0011435D">
        <w:rPr>
          <w:rFonts w:ascii="Calibri" w:hAnsi="Calibri"/>
          <w:bCs/>
          <w:sz w:val="22"/>
          <w:szCs w:val="22"/>
          <w:lang w:bidi="en-US"/>
        </w:rPr>
        <w:t>. Who are the “expert</w:t>
      </w:r>
      <w:r w:rsidR="00B94B15" w:rsidRPr="0011435D">
        <w:rPr>
          <w:rFonts w:ascii="Calibri" w:hAnsi="Calibri"/>
          <w:bCs/>
          <w:sz w:val="22"/>
          <w:szCs w:val="22"/>
          <w:lang w:bidi="en-US"/>
        </w:rPr>
        <w:t>s</w:t>
      </w:r>
      <w:r w:rsidR="00BE5FFC" w:rsidRPr="0011435D">
        <w:rPr>
          <w:rFonts w:ascii="Calibri" w:hAnsi="Calibri"/>
          <w:bCs/>
          <w:sz w:val="22"/>
          <w:szCs w:val="22"/>
          <w:lang w:bidi="en-US"/>
        </w:rPr>
        <w:t>”</w:t>
      </w:r>
      <w:r w:rsidR="00B94B15" w:rsidRPr="0011435D">
        <w:rPr>
          <w:rFonts w:ascii="Calibri" w:hAnsi="Calibri"/>
          <w:bCs/>
          <w:sz w:val="22"/>
          <w:szCs w:val="22"/>
          <w:lang w:bidi="en-US"/>
        </w:rPr>
        <w:t xml:space="preserve"> behind </w:t>
      </w:r>
      <w:r w:rsidR="002C223F" w:rsidRPr="0011435D">
        <w:rPr>
          <w:rFonts w:ascii="Calibri" w:hAnsi="Calibri"/>
          <w:bCs/>
          <w:sz w:val="22"/>
          <w:szCs w:val="22"/>
          <w:lang w:bidi="en-US"/>
        </w:rPr>
        <w:t>them</w:t>
      </w:r>
      <w:r w:rsidR="0000785D" w:rsidRPr="0011435D">
        <w:rPr>
          <w:rFonts w:ascii="Calibri" w:hAnsi="Calibri"/>
          <w:bCs/>
          <w:sz w:val="22"/>
          <w:szCs w:val="22"/>
          <w:lang w:bidi="en-US"/>
        </w:rPr>
        <w:t xml:space="preserve"> and w</w:t>
      </w:r>
      <w:r w:rsidR="00BE5FFC" w:rsidRPr="0011435D">
        <w:rPr>
          <w:rFonts w:ascii="Calibri" w:hAnsi="Calibri"/>
          <w:bCs/>
          <w:sz w:val="22"/>
          <w:szCs w:val="22"/>
          <w:lang w:bidi="en-US"/>
        </w:rPr>
        <w:t>hat criteria</w:t>
      </w:r>
      <w:r w:rsidR="00ED59CE" w:rsidRPr="0011435D">
        <w:rPr>
          <w:rFonts w:ascii="Calibri" w:hAnsi="Calibri"/>
          <w:bCs/>
          <w:sz w:val="22"/>
          <w:szCs w:val="22"/>
          <w:lang w:bidi="en-US"/>
        </w:rPr>
        <w:t xml:space="preserve"> are they using</w:t>
      </w:r>
      <w:r w:rsidR="00BE5FFC" w:rsidRPr="0011435D">
        <w:rPr>
          <w:rFonts w:ascii="Calibri" w:hAnsi="Calibri"/>
          <w:bCs/>
          <w:sz w:val="22"/>
          <w:szCs w:val="22"/>
          <w:lang w:bidi="en-US"/>
        </w:rPr>
        <w:t xml:space="preserve">? How can </w:t>
      </w:r>
      <w:r w:rsidR="006A5576" w:rsidRPr="0011435D">
        <w:rPr>
          <w:rFonts w:ascii="Calibri" w:hAnsi="Calibri"/>
          <w:bCs/>
          <w:sz w:val="22"/>
          <w:szCs w:val="22"/>
          <w:lang w:bidi="en-US"/>
        </w:rPr>
        <w:t xml:space="preserve">one expert’s </w:t>
      </w:r>
      <w:r w:rsidR="0000785D" w:rsidRPr="0011435D">
        <w:rPr>
          <w:rFonts w:ascii="Calibri" w:hAnsi="Calibri"/>
          <w:bCs/>
          <w:sz w:val="22"/>
          <w:szCs w:val="22"/>
          <w:lang w:bidi="en-US"/>
        </w:rPr>
        <w:t>top-ranked masterpiece</w:t>
      </w:r>
      <w:r w:rsidR="00BE5FFC" w:rsidRPr="0011435D">
        <w:rPr>
          <w:rFonts w:ascii="Calibri" w:hAnsi="Calibri"/>
          <w:bCs/>
          <w:sz w:val="22"/>
          <w:szCs w:val="22"/>
          <w:lang w:bidi="en-US"/>
        </w:rPr>
        <w:t xml:space="preserve"> </w:t>
      </w:r>
      <w:r w:rsidR="00B94B15" w:rsidRPr="0011435D">
        <w:rPr>
          <w:rFonts w:ascii="Calibri" w:hAnsi="Calibri"/>
          <w:bCs/>
          <w:sz w:val="22"/>
          <w:szCs w:val="22"/>
          <w:lang w:bidi="en-US"/>
        </w:rPr>
        <w:t>fail to make another’</w:t>
      </w:r>
      <w:r w:rsidR="00BE5FFC" w:rsidRPr="0011435D">
        <w:rPr>
          <w:rFonts w:ascii="Calibri" w:hAnsi="Calibri"/>
          <w:bCs/>
          <w:sz w:val="22"/>
          <w:szCs w:val="22"/>
          <w:lang w:bidi="en-US"/>
        </w:rPr>
        <w:t>s top 100? And why are the</w:t>
      </w:r>
      <w:r w:rsidR="00ED59CE" w:rsidRPr="0011435D">
        <w:rPr>
          <w:rFonts w:ascii="Calibri" w:hAnsi="Calibri"/>
          <w:bCs/>
          <w:sz w:val="22"/>
          <w:szCs w:val="22"/>
          <w:lang w:bidi="en-US"/>
        </w:rPr>
        <w:t xml:space="preserve"> authors on these</w:t>
      </w:r>
      <w:r w:rsidR="00BE5FFC" w:rsidRPr="0011435D">
        <w:rPr>
          <w:rFonts w:ascii="Calibri" w:hAnsi="Calibri"/>
          <w:bCs/>
          <w:sz w:val="22"/>
          <w:szCs w:val="22"/>
          <w:lang w:bidi="en-US"/>
        </w:rPr>
        <w:t xml:space="preserve"> lists usually so white, so Western, so male? </w:t>
      </w:r>
      <w:r w:rsidR="0059316C" w:rsidRPr="0011435D">
        <w:rPr>
          <w:rFonts w:ascii="Calibri" w:hAnsi="Calibri"/>
          <w:bCs/>
          <w:sz w:val="22"/>
          <w:szCs w:val="22"/>
          <w:lang w:bidi="en-US"/>
        </w:rPr>
        <w:t>As readers, w</w:t>
      </w:r>
      <w:r w:rsidR="00A578D2" w:rsidRPr="0011435D">
        <w:rPr>
          <w:rFonts w:ascii="Calibri" w:hAnsi="Calibri"/>
          <w:bCs/>
          <w:sz w:val="22"/>
          <w:szCs w:val="22"/>
          <w:lang w:bidi="en-US"/>
        </w:rPr>
        <w:t>ould we be better off turning</w:t>
      </w:r>
      <w:r w:rsidR="00BE5FFC" w:rsidRPr="0011435D">
        <w:rPr>
          <w:rFonts w:ascii="Calibri" w:hAnsi="Calibri"/>
          <w:bCs/>
          <w:sz w:val="22"/>
          <w:szCs w:val="22"/>
          <w:lang w:bidi="en-US"/>
        </w:rPr>
        <w:t xml:space="preserve"> to specialized lists (like </w:t>
      </w:r>
      <w:proofErr w:type="spellStart"/>
      <w:r w:rsidR="003913E6" w:rsidRPr="0011435D">
        <w:rPr>
          <w:rFonts w:ascii="Calibri" w:hAnsi="Calibri"/>
          <w:bCs/>
          <w:i/>
          <w:sz w:val="22"/>
          <w:szCs w:val="22"/>
          <w:lang w:bidi="en-US"/>
        </w:rPr>
        <w:t>HuffPo</w:t>
      </w:r>
      <w:r w:rsidR="003913E6" w:rsidRPr="0011435D">
        <w:rPr>
          <w:rFonts w:ascii="Calibri" w:hAnsi="Calibri"/>
          <w:bCs/>
          <w:sz w:val="22"/>
          <w:szCs w:val="22"/>
          <w:lang w:bidi="en-US"/>
        </w:rPr>
        <w:t>’s</w:t>
      </w:r>
      <w:proofErr w:type="spellEnd"/>
      <w:r w:rsidR="003913E6" w:rsidRPr="0011435D">
        <w:rPr>
          <w:rFonts w:ascii="Calibri" w:hAnsi="Calibri"/>
          <w:bCs/>
          <w:sz w:val="22"/>
          <w:szCs w:val="22"/>
          <w:lang w:bidi="en-US"/>
        </w:rPr>
        <w:t xml:space="preserve"> </w:t>
      </w:r>
      <w:r w:rsidR="00BE5FFC" w:rsidRPr="0011435D">
        <w:rPr>
          <w:rFonts w:ascii="Calibri" w:hAnsi="Calibri"/>
          <w:bCs/>
          <w:sz w:val="22"/>
          <w:szCs w:val="22"/>
          <w:lang w:bidi="en-US"/>
        </w:rPr>
        <w:t>“30 Books You Sh</w:t>
      </w:r>
      <w:r w:rsidR="00A578D2" w:rsidRPr="0011435D">
        <w:rPr>
          <w:rFonts w:ascii="Calibri" w:hAnsi="Calibri"/>
          <w:bCs/>
          <w:sz w:val="22"/>
          <w:szCs w:val="22"/>
          <w:lang w:bidi="en-US"/>
        </w:rPr>
        <w:t>ould Read Before You’re 30”) to get curated recommendations?</w:t>
      </w:r>
      <w:r w:rsidR="00BE5FFC" w:rsidRPr="0011435D">
        <w:rPr>
          <w:rFonts w:ascii="Calibri" w:hAnsi="Calibri"/>
          <w:bCs/>
          <w:sz w:val="22"/>
          <w:szCs w:val="22"/>
          <w:lang w:bidi="en-US"/>
        </w:rPr>
        <w:t xml:space="preserve"> </w:t>
      </w:r>
      <w:r w:rsidR="00ED59CE" w:rsidRPr="0011435D">
        <w:rPr>
          <w:rFonts w:ascii="Calibri" w:hAnsi="Calibri"/>
          <w:bCs/>
          <w:sz w:val="22"/>
          <w:szCs w:val="22"/>
          <w:lang w:bidi="en-US"/>
        </w:rPr>
        <w:t xml:space="preserve">Should we trust the judges of the big literary competitions and </w:t>
      </w:r>
      <w:r w:rsidR="009C2AD9" w:rsidRPr="0011435D">
        <w:rPr>
          <w:rFonts w:ascii="Calibri" w:hAnsi="Calibri"/>
          <w:bCs/>
          <w:sz w:val="22"/>
          <w:szCs w:val="22"/>
          <w:lang w:bidi="en-US"/>
        </w:rPr>
        <w:t>stock our reading lists with important</w:t>
      </w:r>
      <w:r w:rsidR="00271E2E" w:rsidRPr="0011435D">
        <w:rPr>
          <w:rFonts w:ascii="Calibri" w:hAnsi="Calibri"/>
          <w:bCs/>
          <w:sz w:val="22"/>
          <w:szCs w:val="22"/>
          <w:lang w:bidi="en-US"/>
        </w:rPr>
        <w:t xml:space="preserve"> prizewinning novels</w:t>
      </w:r>
      <w:r w:rsidR="00ED59CE" w:rsidRPr="0011435D">
        <w:rPr>
          <w:rFonts w:ascii="Calibri" w:hAnsi="Calibri"/>
          <w:bCs/>
          <w:sz w:val="22"/>
          <w:szCs w:val="22"/>
          <w:lang w:bidi="en-US"/>
        </w:rPr>
        <w:t xml:space="preserve">? </w:t>
      </w:r>
      <w:r w:rsidR="001F442D" w:rsidRPr="0011435D">
        <w:rPr>
          <w:rFonts w:ascii="Calibri" w:hAnsi="Calibri"/>
          <w:bCs/>
          <w:sz w:val="22"/>
          <w:szCs w:val="22"/>
          <w:lang w:bidi="en-US"/>
        </w:rPr>
        <w:t>Or should we</w:t>
      </w:r>
      <w:r w:rsidR="002C223F" w:rsidRPr="0011435D">
        <w:rPr>
          <w:rFonts w:ascii="Calibri" w:hAnsi="Calibri"/>
          <w:bCs/>
          <w:sz w:val="22"/>
          <w:szCs w:val="22"/>
          <w:lang w:bidi="en-US"/>
        </w:rPr>
        <w:t xml:space="preserve"> </w:t>
      </w:r>
      <w:r w:rsidR="00ED59CE" w:rsidRPr="0011435D">
        <w:rPr>
          <w:rFonts w:ascii="Calibri" w:hAnsi="Calibri"/>
          <w:bCs/>
          <w:sz w:val="22"/>
          <w:szCs w:val="22"/>
          <w:lang w:bidi="en-US"/>
        </w:rPr>
        <w:t>ignore</w:t>
      </w:r>
      <w:r w:rsidR="001F442D" w:rsidRPr="0011435D">
        <w:rPr>
          <w:rFonts w:ascii="Calibri" w:hAnsi="Calibri"/>
          <w:bCs/>
          <w:sz w:val="22"/>
          <w:szCs w:val="22"/>
          <w:lang w:bidi="en-US"/>
        </w:rPr>
        <w:t xml:space="preserve"> the literary establishment altogether, </w:t>
      </w:r>
      <w:r w:rsidR="00BE5FFC" w:rsidRPr="0011435D">
        <w:rPr>
          <w:rFonts w:ascii="Calibri" w:hAnsi="Calibri"/>
          <w:bCs/>
          <w:sz w:val="22"/>
          <w:szCs w:val="22"/>
          <w:lang w:bidi="en-US"/>
        </w:rPr>
        <w:t>trust the taste of the m</w:t>
      </w:r>
      <w:r w:rsidR="003913E6" w:rsidRPr="0011435D">
        <w:rPr>
          <w:rFonts w:ascii="Calibri" w:hAnsi="Calibri"/>
          <w:bCs/>
          <w:sz w:val="22"/>
          <w:szCs w:val="22"/>
          <w:lang w:bidi="en-US"/>
        </w:rPr>
        <w:t>a</w:t>
      </w:r>
      <w:r w:rsidR="002C223F" w:rsidRPr="0011435D">
        <w:rPr>
          <w:rFonts w:ascii="Calibri" w:hAnsi="Calibri"/>
          <w:bCs/>
          <w:sz w:val="22"/>
          <w:szCs w:val="22"/>
          <w:lang w:bidi="en-US"/>
        </w:rPr>
        <w:t>sses</w:t>
      </w:r>
      <w:r w:rsidR="001F442D" w:rsidRPr="0011435D">
        <w:rPr>
          <w:rFonts w:ascii="Calibri" w:hAnsi="Calibri"/>
          <w:bCs/>
          <w:sz w:val="22"/>
          <w:szCs w:val="22"/>
          <w:lang w:bidi="en-US"/>
        </w:rPr>
        <w:t>, and just read best sellers?</w:t>
      </w:r>
      <w:r w:rsidR="00BE5FFC" w:rsidRPr="0011435D">
        <w:rPr>
          <w:rFonts w:ascii="Calibri" w:hAnsi="Calibri"/>
          <w:bCs/>
          <w:sz w:val="22"/>
          <w:szCs w:val="22"/>
          <w:lang w:bidi="en-US"/>
        </w:rPr>
        <w:t xml:space="preserve"> </w:t>
      </w:r>
    </w:p>
    <w:p w14:paraId="016B4E7C" w14:textId="7D5BB425" w:rsidR="00BE5FFC" w:rsidRPr="00C83ED2" w:rsidRDefault="00BE5FFC" w:rsidP="00F2046A">
      <w:pPr>
        <w:ind w:firstLine="720"/>
        <w:rPr>
          <w:rFonts w:asciiTheme="majorHAnsi" w:hAnsiTheme="majorHAnsi"/>
          <w:bCs/>
          <w:sz w:val="22"/>
          <w:szCs w:val="22"/>
          <w:lang w:bidi="en-US"/>
        </w:rPr>
      </w:pPr>
      <w:r w:rsidRPr="0011435D">
        <w:rPr>
          <w:rFonts w:ascii="Calibri" w:hAnsi="Calibri"/>
          <w:bCs/>
          <w:sz w:val="22"/>
          <w:szCs w:val="22"/>
          <w:lang w:bidi="en-US"/>
        </w:rPr>
        <w:t>In this Reading Salon, we’ll tackle the book lover’s dilemma together</w:t>
      </w:r>
      <w:r w:rsidR="00720928" w:rsidRPr="0011435D">
        <w:rPr>
          <w:rFonts w:ascii="Calibri" w:hAnsi="Calibri"/>
          <w:bCs/>
          <w:sz w:val="22"/>
          <w:szCs w:val="22"/>
          <w:lang w:bidi="en-US"/>
        </w:rPr>
        <w:t xml:space="preserve">. We’ll explore “best of” lists created by critics, journalists, prize committees, </w:t>
      </w:r>
      <w:r w:rsidR="00B745A3" w:rsidRPr="0011435D">
        <w:rPr>
          <w:rFonts w:ascii="Calibri" w:hAnsi="Calibri"/>
          <w:bCs/>
          <w:sz w:val="22"/>
          <w:szCs w:val="22"/>
          <w:lang w:bidi="en-US"/>
        </w:rPr>
        <w:t xml:space="preserve">scholars, </w:t>
      </w:r>
      <w:r w:rsidR="00720928" w:rsidRPr="0011435D">
        <w:rPr>
          <w:rFonts w:ascii="Calibri" w:hAnsi="Calibri"/>
          <w:bCs/>
          <w:sz w:val="22"/>
          <w:szCs w:val="22"/>
          <w:lang w:bidi="en-US"/>
        </w:rPr>
        <w:t>and readers like you.</w:t>
      </w:r>
      <w:r w:rsidRPr="0011435D">
        <w:rPr>
          <w:rFonts w:ascii="Calibri" w:hAnsi="Calibri"/>
          <w:bCs/>
          <w:sz w:val="22"/>
          <w:szCs w:val="22"/>
          <w:lang w:bidi="en-US"/>
        </w:rPr>
        <w:t xml:space="preserve"> </w:t>
      </w:r>
      <w:r w:rsidR="009C2AD9" w:rsidRPr="0011435D">
        <w:rPr>
          <w:rFonts w:ascii="Calibri" w:hAnsi="Calibri"/>
          <w:bCs/>
          <w:sz w:val="22"/>
          <w:szCs w:val="22"/>
          <w:lang w:bidi="en-US"/>
        </w:rPr>
        <w:t xml:space="preserve">After starting with the books listed below, </w:t>
      </w:r>
      <w:r w:rsidR="009C2AD9" w:rsidRPr="0011435D">
        <w:rPr>
          <w:rFonts w:ascii="Calibri" w:hAnsi="Calibri"/>
          <w:sz w:val="22"/>
          <w:szCs w:val="22"/>
          <w:lang w:bidi="en-US"/>
        </w:rPr>
        <w:t xml:space="preserve">the class will collectively create a reading list for the second half of the course. </w:t>
      </w:r>
      <w:r w:rsidRPr="0011435D">
        <w:rPr>
          <w:rFonts w:ascii="Calibri" w:hAnsi="Calibri"/>
          <w:bCs/>
          <w:sz w:val="22"/>
          <w:szCs w:val="22"/>
          <w:lang w:bidi="en-US"/>
        </w:rPr>
        <w:t>We’ll read both</w:t>
      </w:r>
      <w:r w:rsidR="00B745A3" w:rsidRPr="0011435D">
        <w:rPr>
          <w:rFonts w:ascii="Calibri" w:hAnsi="Calibri"/>
          <w:bCs/>
          <w:sz w:val="22"/>
          <w:szCs w:val="22"/>
          <w:lang w:bidi="en-US"/>
        </w:rPr>
        <w:t xml:space="preserve"> widely admired</w:t>
      </w:r>
      <w:r w:rsidRPr="0011435D">
        <w:rPr>
          <w:rFonts w:ascii="Calibri" w:hAnsi="Calibri"/>
          <w:bCs/>
          <w:sz w:val="22"/>
          <w:szCs w:val="22"/>
          <w:lang w:bidi="en-US"/>
        </w:rPr>
        <w:t xml:space="preserve"> masterpieces and contested classics, and investigate what it means to have </w:t>
      </w:r>
      <w:r w:rsidR="00AC549E" w:rsidRPr="0011435D">
        <w:rPr>
          <w:rFonts w:ascii="Calibri" w:hAnsi="Calibri"/>
          <w:bCs/>
          <w:sz w:val="22"/>
          <w:szCs w:val="22"/>
          <w:lang w:bidi="en-US"/>
        </w:rPr>
        <w:t>“</w:t>
      </w:r>
      <w:r w:rsidRPr="0011435D">
        <w:rPr>
          <w:rFonts w:ascii="Calibri" w:hAnsi="Calibri"/>
          <w:bCs/>
          <w:sz w:val="22"/>
          <w:szCs w:val="22"/>
          <w:lang w:bidi="en-US"/>
        </w:rPr>
        <w:t>good taste.</w:t>
      </w:r>
      <w:r w:rsidR="00AC549E" w:rsidRPr="0011435D">
        <w:rPr>
          <w:rFonts w:ascii="Calibri" w:hAnsi="Calibri"/>
          <w:bCs/>
          <w:sz w:val="22"/>
          <w:szCs w:val="22"/>
          <w:lang w:bidi="en-US"/>
        </w:rPr>
        <w:t>”</w:t>
      </w:r>
      <w:r w:rsidRPr="0011435D">
        <w:rPr>
          <w:rFonts w:ascii="Calibri" w:hAnsi="Calibri"/>
          <w:bCs/>
          <w:sz w:val="22"/>
          <w:szCs w:val="22"/>
          <w:lang w:bidi="en-US"/>
        </w:rPr>
        <w:t xml:space="preserve"> Whether you </w:t>
      </w:r>
      <w:r w:rsidR="006C5B58" w:rsidRPr="0011435D">
        <w:rPr>
          <w:rFonts w:ascii="Calibri" w:hAnsi="Calibri"/>
          <w:bCs/>
          <w:sz w:val="22"/>
          <w:szCs w:val="22"/>
          <w:lang w:bidi="en-US"/>
        </w:rPr>
        <w:t>love</w:t>
      </w:r>
      <w:r w:rsidR="006C4CB1" w:rsidRPr="0011435D">
        <w:rPr>
          <w:rFonts w:ascii="Calibri" w:hAnsi="Calibri"/>
          <w:bCs/>
          <w:sz w:val="22"/>
          <w:szCs w:val="22"/>
          <w:lang w:bidi="en-US"/>
        </w:rPr>
        <w:t xml:space="preserve"> </w:t>
      </w:r>
      <w:r w:rsidRPr="0011435D">
        <w:rPr>
          <w:rFonts w:ascii="Calibri" w:hAnsi="Calibri"/>
          <w:bCs/>
          <w:sz w:val="22"/>
          <w:szCs w:val="22"/>
          <w:lang w:bidi="en-US"/>
        </w:rPr>
        <w:t xml:space="preserve">the literary establishment or </w:t>
      </w:r>
      <w:r w:rsidR="0000785D" w:rsidRPr="0011435D">
        <w:rPr>
          <w:rFonts w:ascii="Calibri" w:hAnsi="Calibri"/>
          <w:bCs/>
          <w:sz w:val="22"/>
          <w:szCs w:val="22"/>
          <w:lang w:bidi="en-US"/>
        </w:rPr>
        <w:t>loathe</w:t>
      </w:r>
      <w:r w:rsidRPr="0011435D">
        <w:rPr>
          <w:rFonts w:ascii="Calibri" w:hAnsi="Calibri"/>
          <w:bCs/>
          <w:sz w:val="22"/>
          <w:szCs w:val="22"/>
          <w:lang w:bidi="en-US"/>
        </w:rPr>
        <w:t xml:space="preserve"> it, </w:t>
      </w:r>
      <w:r w:rsidR="009C2AD9" w:rsidRPr="0011435D">
        <w:rPr>
          <w:rFonts w:ascii="Calibri" w:hAnsi="Calibri"/>
          <w:bCs/>
          <w:sz w:val="22"/>
          <w:szCs w:val="22"/>
          <w:lang w:bidi="en-US"/>
        </w:rPr>
        <w:t>you’re guaranteed to</w:t>
      </w:r>
      <w:r w:rsidRPr="0011435D">
        <w:rPr>
          <w:rFonts w:ascii="Calibri" w:hAnsi="Calibri"/>
          <w:bCs/>
          <w:sz w:val="22"/>
          <w:szCs w:val="22"/>
          <w:lang w:bidi="en-US"/>
        </w:rPr>
        <w:t xml:space="preserve"> leave this </w:t>
      </w:r>
      <w:r w:rsidRPr="00C83ED2">
        <w:rPr>
          <w:rFonts w:asciiTheme="majorHAnsi" w:hAnsiTheme="majorHAnsi"/>
          <w:bCs/>
          <w:sz w:val="22"/>
          <w:szCs w:val="22"/>
          <w:lang w:bidi="en-US"/>
        </w:rPr>
        <w:t>class with a whole new take on the question “what should I read next?”</w:t>
      </w:r>
    </w:p>
    <w:p w14:paraId="421ADE09" w14:textId="1BC4DD02" w:rsidR="00C83ED2" w:rsidRPr="00C83ED2" w:rsidRDefault="00C83ED2" w:rsidP="00F2046A">
      <w:pPr>
        <w:ind w:firstLine="720"/>
        <w:rPr>
          <w:rFonts w:asciiTheme="majorHAnsi" w:hAnsiTheme="majorHAnsi"/>
          <w:bCs/>
          <w:sz w:val="22"/>
          <w:szCs w:val="22"/>
          <w:lang w:bidi="en-US"/>
        </w:rPr>
      </w:pPr>
    </w:p>
    <w:p w14:paraId="65DE322C" w14:textId="77777777" w:rsidR="00C83ED2" w:rsidRPr="00C83ED2" w:rsidRDefault="00C83ED2" w:rsidP="00C83ED2">
      <w:pPr>
        <w:rPr>
          <w:rFonts w:asciiTheme="majorHAnsi" w:hAnsiTheme="majorHAnsi"/>
          <w:i/>
          <w:sz w:val="22"/>
          <w:szCs w:val="22"/>
        </w:rPr>
      </w:pPr>
      <w:r w:rsidRPr="00C83ED2">
        <w:rPr>
          <w:rFonts w:asciiTheme="majorHAnsi" w:hAnsiTheme="majorHAnsi"/>
          <w:i/>
          <w:sz w:val="22"/>
          <w:szCs w:val="22"/>
        </w:rPr>
        <w:t>CORE 200 lasts for twelve weeks (instead of the usual fifteen) and meets once each week for two hours in a seminar setting. The Salon encourages the sharing of ideas and thoughts, highlights common themes and interdisciplinary connections as they emerge from discussion. Discussions that grow out of reading groups can become the starting point for future research. The two-unit Salon is an integral part of the Thematic Approaches to Humanities and Society minor. A special feature of the Reading Salon is that some of the books to be read by the participants will be selected by the students. The course is graded Credit/No Credit.</w:t>
      </w:r>
    </w:p>
    <w:p w14:paraId="4CF9A1A3" w14:textId="03D71B11" w:rsidR="00BE5FFC" w:rsidRPr="00C83ED2" w:rsidRDefault="00BE5FFC" w:rsidP="00BE5FFC">
      <w:pPr>
        <w:rPr>
          <w:rFonts w:asciiTheme="majorHAnsi" w:hAnsiTheme="majorHAnsi"/>
          <w:b/>
          <w:sz w:val="22"/>
          <w:szCs w:val="22"/>
          <w:u w:val="single"/>
        </w:rPr>
      </w:pPr>
      <w:bookmarkStart w:id="0" w:name="_GoBack"/>
      <w:bookmarkEnd w:id="0"/>
    </w:p>
    <w:p w14:paraId="4F32AE67" w14:textId="2B4D13FD" w:rsidR="00F2046A" w:rsidRPr="00C83ED2" w:rsidRDefault="00C83ED2" w:rsidP="00BE5FFC">
      <w:pPr>
        <w:rPr>
          <w:rFonts w:asciiTheme="majorHAnsi" w:hAnsiTheme="majorHAnsi"/>
          <w:b/>
          <w:sz w:val="22"/>
          <w:szCs w:val="22"/>
        </w:rPr>
      </w:pPr>
      <w:r w:rsidRPr="00C83ED2">
        <w:rPr>
          <w:rFonts w:asciiTheme="majorHAnsi" w:hAnsiTheme="majorHAnsi"/>
          <w:b/>
          <w:sz w:val="22"/>
          <w:szCs w:val="22"/>
        </w:rPr>
        <w:t xml:space="preserve">Proposed </w:t>
      </w:r>
      <w:r w:rsidR="00F2046A" w:rsidRPr="00C83ED2">
        <w:rPr>
          <w:rFonts w:asciiTheme="majorHAnsi" w:hAnsiTheme="majorHAnsi"/>
          <w:b/>
          <w:sz w:val="22"/>
          <w:szCs w:val="22"/>
        </w:rPr>
        <w:t>Readings</w:t>
      </w:r>
    </w:p>
    <w:p w14:paraId="56898B6B" w14:textId="77777777" w:rsidR="00F2046A" w:rsidRPr="0011435D" w:rsidRDefault="00F2046A" w:rsidP="00BE5FFC">
      <w:pPr>
        <w:rPr>
          <w:rFonts w:ascii="Calibri" w:hAnsi="Calibri"/>
          <w:b/>
          <w:sz w:val="22"/>
          <w:szCs w:val="22"/>
          <w:u w:val="single"/>
        </w:rPr>
      </w:pPr>
    </w:p>
    <w:p w14:paraId="1FBAC2D2" w14:textId="33FEECDB" w:rsidR="00A04DF9" w:rsidRPr="0011435D" w:rsidRDefault="00A04DF9" w:rsidP="00A04DF9">
      <w:pPr>
        <w:rPr>
          <w:rFonts w:ascii="Calibri" w:hAnsi="Calibri"/>
          <w:sz w:val="22"/>
          <w:szCs w:val="22"/>
        </w:rPr>
      </w:pPr>
      <w:r w:rsidRPr="0011435D">
        <w:rPr>
          <w:rFonts w:ascii="Calibri" w:hAnsi="Calibri"/>
          <w:sz w:val="22"/>
          <w:szCs w:val="22"/>
        </w:rPr>
        <w:t xml:space="preserve">Faulkner, William. </w:t>
      </w:r>
      <w:r w:rsidRPr="0011435D">
        <w:rPr>
          <w:rFonts w:ascii="Calibri" w:hAnsi="Calibri"/>
          <w:i/>
          <w:sz w:val="22"/>
          <w:szCs w:val="22"/>
        </w:rPr>
        <w:t>The Sound and the Fury.</w:t>
      </w:r>
      <w:r w:rsidR="00827C11" w:rsidRPr="0011435D">
        <w:rPr>
          <w:rFonts w:ascii="Calibri" w:hAnsi="Calibri"/>
          <w:i/>
          <w:sz w:val="22"/>
          <w:szCs w:val="22"/>
        </w:rPr>
        <w:t xml:space="preserve"> </w:t>
      </w:r>
      <w:r w:rsidR="005E1E9D" w:rsidRPr="0011435D">
        <w:rPr>
          <w:rFonts w:ascii="Calibri" w:hAnsi="Calibri"/>
          <w:sz w:val="22"/>
          <w:szCs w:val="22"/>
        </w:rPr>
        <w:t>N</w:t>
      </w:r>
      <w:r w:rsidR="00360274">
        <w:rPr>
          <w:rFonts w:ascii="Calibri" w:hAnsi="Calibri"/>
          <w:sz w:val="22"/>
          <w:szCs w:val="22"/>
        </w:rPr>
        <w:t xml:space="preserve">ew </w:t>
      </w:r>
      <w:r w:rsidR="005E1E9D" w:rsidRPr="0011435D">
        <w:rPr>
          <w:rFonts w:ascii="Calibri" w:hAnsi="Calibri"/>
          <w:sz w:val="22"/>
          <w:szCs w:val="22"/>
        </w:rPr>
        <w:t>Y</w:t>
      </w:r>
      <w:r w:rsidR="00360274">
        <w:rPr>
          <w:rFonts w:ascii="Calibri" w:hAnsi="Calibri"/>
          <w:sz w:val="22"/>
          <w:szCs w:val="22"/>
        </w:rPr>
        <w:t>ork</w:t>
      </w:r>
      <w:r w:rsidR="005E1E9D" w:rsidRPr="0011435D">
        <w:rPr>
          <w:rFonts w:ascii="Calibri" w:hAnsi="Calibri"/>
          <w:sz w:val="22"/>
          <w:szCs w:val="22"/>
        </w:rPr>
        <w:t xml:space="preserve">: </w:t>
      </w:r>
      <w:r w:rsidR="00827C11" w:rsidRPr="0011435D">
        <w:rPr>
          <w:rFonts w:ascii="Calibri" w:hAnsi="Calibri"/>
          <w:sz w:val="22"/>
          <w:szCs w:val="22"/>
        </w:rPr>
        <w:t>Vintage</w:t>
      </w:r>
      <w:r w:rsidR="005E1E9D" w:rsidRPr="0011435D">
        <w:rPr>
          <w:rFonts w:ascii="Calibri" w:hAnsi="Calibri"/>
          <w:sz w:val="22"/>
          <w:szCs w:val="22"/>
        </w:rPr>
        <w:t>, 1990.</w:t>
      </w:r>
      <w:r w:rsidR="00827C11" w:rsidRPr="0011435D">
        <w:rPr>
          <w:rFonts w:ascii="Calibri" w:hAnsi="Calibri"/>
          <w:sz w:val="22"/>
          <w:szCs w:val="22"/>
        </w:rPr>
        <w:t xml:space="preserve"> [0679732241]</w:t>
      </w:r>
    </w:p>
    <w:p w14:paraId="5AD0B0EE" w14:textId="1041DF0A" w:rsidR="00A04DF9" w:rsidRPr="0011435D" w:rsidRDefault="00A04DF9" w:rsidP="00A04DF9">
      <w:pPr>
        <w:rPr>
          <w:rFonts w:ascii="Calibri" w:hAnsi="Calibri"/>
          <w:sz w:val="22"/>
          <w:szCs w:val="22"/>
        </w:rPr>
      </w:pPr>
      <w:r w:rsidRPr="0011435D">
        <w:rPr>
          <w:rFonts w:ascii="Calibri" w:hAnsi="Calibri"/>
          <w:sz w:val="22"/>
          <w:szCs w:val="22"/>
        </w:rPr>
        <w:t xml:space="preserve">Fitzgerald, F. Scott. </w:t>
      </w:r>
      <w:r w:rsidRPr="0011435D">
        <w:rPr>
          <w:rFonts w:ascii="Calibri" w:hAnsi="Calibri"/>
          <w:i/>
          <w:sz w:val="22"/>
          <w:szCs w:val="22"/>
        </w:rPr>
        <w:t>The Great Gatsby.</w:t>
      </w:r>
      <w:r w:rsidR="00EF4B72" w:rsidRPr="0011435D">
        <w:rPr>
          <w:rFonts w:ascii="Calibri" w:hAnsi="Calibri"/>
          <w:i/>
          <w:sz w:val="22"/>
          <w:szCs w:val="22"/>
        </w:rPr>
        <w:t xml:space="preserve"> </w:t>
      </w:r>
      <w:r w:rsidR="00EF4B72" w:rsidRPr="0011435D">
        <w:rPr>
          <w:rFonts w:ascii="Calibri" w:hAnsi="Calibri"/>
          <w:sz w:val="22"/>
          <w:szCs w:val="22"/>
        </w:rPr>
        <w:t>N</w:t>
      </w:r>
      <w:r w:rsidR="00360274">
        <w:rPr>
          <w:rFonts w:ascii="Calibri" w:hAnsi="Calibri"/>
          <w:sz w:val="22"/>
          <w:szCs w:val="22"/>
        </w:rPr>
        <w:t xml:space="preserve">ew </w:t>
      </w:r>
      <w:r w:rsidR="00EF4B72" w:rsidRPr="0011435D">
        <w:rPr>
          <w:rFonts w:ascii="Calibri" w:hAnsi="Calibri"/>
          <w:sz w:val="22"/>
          <w:szCs w:val="22"/>
        </w:rPr>
        <w:t>Y</w:t>
      </w:r>
      <w:r w:rsidR="00360274">
        <w:rPr>
          <w:rFonts w:ascii="Calibri" w:hAnsi="Calibri"/>
          <w:sz w:val="22"/>
          <w:szCs w:val="22"/>
        </w:rPr>
        <w:t>ork</w:t>
      </w:r>
      <w:r w:rsidR="00EF4B72" w:rsidRPr="0011435D">
        <w:rPr>
          <w:rFonts w:ascii="Calibri" w:hAnsi="Calibri"/>
          <w:sz w:val="22"/>
          <w:szCs w:val="22"/>
        </w:rPr>
        <w:t>: Simon &amp; Schuster, 2004. [0743273567]</w:t>
      </w:r>
    </w:p>
    <w:p w14:paraId="13206E9C" w14:textId="708EA500" w:rsidR="00BE5FFC" w:rsidRPr="0011435D" w:rsidRDefault="00A04DF9" w:rsidP="005404DD">
      <w:pPr>
        <w:ind w:left="720" w:hanging="720"/>
        <w:rPr>
          <w:rFonts w:ascii="Calibri" w:hAnsi="Calibri"/>
          <w:sz w:val="22"/>
          <w:szCs w:val="22"/>
        </w:rPr>
      </w:pPr>
      <w:r w:rsidRPr="0011435D">
        <w:rPr>
          <w:rFonts w:ascii="Calibri" w:hAnsi="Calibri"/>
          <w:sz w:val="22"/>
          <w:szCs w:val="22"/>
        </w:rPr>
        <w:t xml:space="preserve">Joyce, James. </w:t>
      </w:r>
      <w:r w:rsidRPr="0011435D">
        <w:rPr>
          <w:rFonts w:ascii="Calibri" w:hAnsi="Calibri"/>
          <w:i/>
          <w:sz w:val="22"/>
          <w:szCs w:val="22"/>
        </w:rPr>
        <w:t xml:space="preserve">A </w:t>
      </w:r>
      <w:r w:rsidR="00BE5FFC" w:rsidRPr="0011435D">
        <w:rPr>
          <w:rFonts w:ascii="Calibri" w:hAnsi="Calibri"/>
          <w:i/>
          <w:sz w:val="22"/>
          <w:szCs w:val="22"/>
        </w:rPr>
        <w:t>Portrait of the Artist as a Young Man</w:t>
      </w:r>
      <w:r w:rsidRPr="0011435D">
        <w:rPr>
          <w:rFonts w:ascii="Calibri" w:hAnsi="Calibri"/>
          <w:sz w:val="22"/>
          <w:szCs w:val="22"/>
        </w:rPr>
        <w:t>.</w:t>
      </w:r>
      <w:r w:rsidR="005404DD" w:rsidRPr="0011435D">
        <w:rPr>
          <w:rFonts w:ascii="Calibri" w:hAnsi="Calibri"/>
          <w:sz w:val="22"/>
          <w:szCs w:val="22"/>
        </w:rPr>
        <w:t xml:space="preserve"> N</w:t>
      </w:r>
      <w:r w:rsidR="00360274">
        <w:rPr>
          <w:rFonts w:ascii="Calibri" w:hAnsi="Calibri"/>
          <w:sz w:val="22"/>
          <w:szCs w:val="22"/>
        </w:rPr>
        <w:t xml:space="preserve">ew </w:t>
      </w:r>
      <w:r w:rsidR="005404DD" w:rsidRPr="0011435D">
        <w:rPr>
          <w:rFonts w:ascii="Calibri" w:hAnsi="Calibri"/>
          <w:sz w:val="22"/>
          <w:szCs w:val="22"/>
        </w:rPr>
        <w:t>Y</w:t>
      </w:r>
      <w:r w:rsidR="00360274">
        <w:rPr>
          <w:rFonts w:ascii="Calibri" w:hAnsi="Calibri"/>
          <w:sz w:val="22"/>
          <w:szCs w:val="22"/>
        </w:rPr>
        <w:t>ork</w:t>
      </w:r>
      <w:r w:rsidR="005404DD" w:rsidRPr="0011435D">
        <w:rPr>
          <w:rFonts w:ascii="Calibri" w:hAnsi="Calibri"/>
          <w:sz w:val="22"/>
          <w:szCs w:val="22"/>
        </w:rPr>
        <w:t>: Penguin Classics, 2003. [0142437344]</w:t>
      </w:r>
    </w:p>
    <w:p w14:paraId="5E400979" w14:textId="2C18BADE" w:rsidR="00BE5FFC" w:rsidRPr="0011435D" w:rsidRDefault="00A04DF9" w:rsidP="00BE5FFC">
      <w:pPr>
        <w:rPr>
          <w:rFonts w:ascii="Calibri" w:hAnsi="Calibri"/>
          <w:sz w:val="22"/>
          <w:szCs w:val="22"/>
        </w:rPr>
      </w:pPr>
      <w:r w:rsidRPr="0011435D">
        <w:rPr>
          <w:rFonts w:ascii="Calibri" w:hAnsi="Calibri"/>
          <w:sz w:val="22"/>
          <w:szCs w:val="22"/>
        </w:rPr>
        <w:lastRenderedPageBreak/>
        <w:t xml:space="preserve">Lee, Harper. </w:t>
      </w:r>
      <w:r w:rsidR="00BE5FFC" w:rsidRPr="0011435D">
        <w:rPr>
          <w:rFonts w:ascii="Calibri" w:hAnsi="Calibri"/>
          <w:i/>
          <w:sz w:val="22"/>
          <w:szCs w:val="22"/>
        </w:rPr>
        <w:t>To Kill a Mockingbird</w:t>
      </w:r>
      <w:r w:rsidRPr="0011435D">
        <w:rPr>
          <w:rFonts w:ascii="Calibri" w:hAnsi="Calibri"/>
          <w:i/>
          <w:sz w:val="22"/>
          <w:szCs w:val="22"/>
        </w:rPr>
        <w:t>.</w:t>
      </w:r>
      <w:r w:rsidR="00CC2A09" w:rsidRPr="0011435D">
        <w:rPr>
          <w:rFonts w:ascii="Calibri" w:hAnsi="Calibri"/>
          <w:i/>
          <w:sz w:val="22"/>
          <w:szCs w:val="22"/>
        </w:rPr>
        <w:t xml:space="preserve"> </w:t>
      </w:r>
      <w:r w:rsidR="00CC2A09" w:rsidRPr="0011435D">
        <w:rPr>
          <w:rFonts w:ascii="Calibri" w:hAnsi="Calibri"/>
          <w:sz w:val="22"/>
          <w:szCs w:val="22"/>
        </w:rPr>
        <w:t>N</w:t>
      </w:r>
      <w:r w:rsidR="00360274">
        <w:rPr>
          <w:rFonts w:ascii="Calibri" w:hAnsi="Calibri"/>
          <w:sz w:val="22"/>
          <w:szCs w:val="22"/>
        </w:rPr>
        <w:t xml:space="preserve">ew </w:t>
      </w:r>
      <w:r w:rsidR="00CC2A09" w:rsidRPr="0011435D">
        <w:rPr>
          <w:rFonts w:ascii="Calibri" w:hAnsi="Calibri"/>
          <w:sz w:val="22"/>
          <w:szCs w:val="22"/>
        </w:rPr>
        <w:t>Y</w:t>
      </w:r>
      <w:r w:rsidR="00360274">
        <w:rPr>
          <w:rFonts w:ascii="Calibri" w:hAnsi="Calibri"/>
          <w:sz w:val="22"/>
          <w:szCs w:val="22"/>
        </w:rPr>
        <w:t>ork</w:t>
      </w:r>
      <w:r w:rsidR="00CC2A09" w:rsidRPr="0011435D">
        <w:rPr>
          <w:rFonts w:ascii="Calibri" w:hAnsi="Calibri"/>
          <w:sz w:val="22"/>
          <w:szCs w:val="22"/>
        </w:rPr>
        <w:t>: Harper Perennial Modern Classics, 2002. [0060935464]</w:t>
      </w:r>
    </w:p>
    <w:p w14:paraId="59B846A4" w14:textId="62B5BB5F" w:rsidR="00BE5FFC" w:rsidRPr="0011435D" w:rsidRDefault="00A04DF9" w:rsidP="00BE5FFC">
      <w:pPr>
        <w:rPr>
          <w:rFonts w:ascii="Calibri" w:hAnsi="Calibri"/>
          <w:sz w:val="22"/>
          <w:szCs w:val="22"/>
        </w:rPr>
      </w:pPr>
      <w:r w:rsidRPr="0011435D">
        <w:rPr>
          <w:rFonts w:ascii="Calibri" w:hAnsi="Calibri"/>
          <w:sz w:val="22"/>
          <w:szCs w:val="22"/>
        </w:rPr>
        <w:t xml:space="preserve">McCullers, Carson. </w:t>
      </w:r>
      <w:r w:rsidR="00BE5FFC" w:rsidRPr="0011435D">
        <w:rPr>
          <w:rFonts w:ascii="Calibri" w:hAnsi="Calibri"/>
          <w:i/>
          <w:sz w:val="22"/>
          <w:szCs w:val="22"/>
        </w:rPr>
        <w:t>The Heart Is a Lonely Hunter</w:t>
      </w:r>
      <w:r w:rsidRPr="0011435D">
        <w:rPr>
          <w:rFonts w:ascii="Calibri" w:hAnsi="Calibri"/>
          <w:i/>
          <w:sz w:val="22"/>
          <w:szCs w:val="22"/>
        </w:rPr>
        <w:t>.</w:t>
      </w:r>
      <w:r w:rsidR="00CC2A09" w:rsidRPr="0011435D">
        <w:rPr>
          <w:rFonts w:ascii="Calibri" w:hAnsi="Calibri"/>
          <w:i/>
          <w:sz w:val="22"/>
          <w:szCs w:val="22"/>
        </w:rPr>
        <w:t xml:space="preserve"> </w:t>
      </w:r>
      <w:r w:rsidR="00CC2A09" w:rsidRPr="0011435D">
        <w:rPr>
          <w:rFonts w:ascii="Calibri" w:hAnsi="Calibri"/>
          <w:sz w:val="22"/>
          <w:szCs w:val="22"/>
        </w:rPr>
        <w:t>N</w:t>
      </w:r>
      <w:r w:rsidR="00360274">
        <w:rPr>
          <w:rFonts w:ascii="Calibri" w:hAnsi="Calibri"/>
          <w:sz w:val="22"/>
          <w:szCs w:val="22"/>
        </w:rPr>
        <w:t xml:space="preserve">ew </w:t>
      </w:r>
      <w:r w:rsidR="00CC2A09" w:rsidRPr="0011435D">
        <w:rPr>
          <w:rFonts w:ascii="Calibri" w:hAnsi="Calibri"/>
          <w:sz w:val="22"/>
          <w:szCs w:val="22"/>
        </w:rPr>
        <w:t>Y</w:t>
      </w:r>
      <w:r w:rsidR="00360274">
        <w:rPr>
          <w:rFonts w:ascii="Calibri" w:hAnsi="Calibri"/>
          <w:sz w:val="22"/>
          <w:szCs w:val="22"/>
        </w:rPr>
        <w:t>ork</w:t>
      </w:r>
      <w:r w:rsidR="00CC2A09" w:rsidRPr="0011435D">
        <w:rPr>
          <w:rFonts w:ascii="Calibri" w:hAnsi="Calibri"/>
          <w:sz w:val="22"/>
          <w:szCs w:val="22"/>
        </w:rPr>
        <w:t>: Mariner, 2004. [0618526412]</w:t>
      </w:r>
    </w:p>
    <w:p w14:paraId="0D7AD9B2" w14:textId="2BF13E6A" w:rsidR="00BE5FFC" w:rsidRPr="0011435D" w:rsidRDefault="00A04DF9">
      <w:pPr>
        <w:rPr>
          <w:rFonts w:ascii="Calibri" w:hAnsi="Calibri"/>
          <w:sz w:val="22"/>
          <w:szCs w:val="22"/>
        </w:rPr>
      </w:pPr>
      <w:r w:rsidRPr="0011435D">
        <w:rPr>
          <w:rFonts w:ascii="Calibri" w:hAnsi="Calibri"/>
          <w:sz w:val="22"/>
          <w:szCs w:val="22"/>
        </w:rPr>
        <w:t xml:space="preserve">Woolf, Virginia. </w:t>
      </w:r>
      <w:r w:rsidRPr="0011435D">
        <w:rPr>
          <w:rFonts w:ascii="Calibri" w:hAnsi="Calibri"/>
          <w:i/>
          <w:sz w:val="22"/>
          <w:szCs w:val="22"/>
        </w:rPr>
        <w:t>To the Lighthouse.</w:t>
      </w:r>
      <w:r w:rsidR="00CC2A09" w:rsidRPr="0011435D">
        <w:rPr>
          <w:rFonts w:ascii="Calibri" w:hAnsi="Calibri"/>
          <w:i/>
          <w:sz w:val="22"/>
          <w:szCs w:val="22"/>
        </w:rPr>
        <w:t xml:space="preserve"> </w:t>
      </w:r>
      <w:r w:rsidR="00CC2A09" w:rsidRPr="0011435D">
        <w:rPr>
          <w:rFonts w:ascii="Calibri" w:hAnsi="Calibri"/>
          <w:sz w:val="22"/>
          <w:szCs w:val="22"/>
        </w:rPr>
        <w:t>San Diego: Harcourt Brace Jovanovich, 1989. [0156907399]</w:t>
      </w:r>
    </w:p>
    <w:sectPr w:rsidR="00BE5FFC" w:rsidRPr="0011435D" w:rsidSect="00CC2A09">
      <w:pgSz w:w="12240" w:h="15840"/>
      <w:pgMar w:top="1440" w:right="135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FFC"/>
    <w:rsid w:val="0000785D"/>
    <w:rsid w:val="000C7AE2"/>
    <w:rsid w:val="0011435D"/>
    <w:rsid w:val="001F442D"/>
    <w:rsid w:val="00271E2E"/>
    <w:rsid w:val="002770FD"/>
    <w:rsid w:val="002C223F"/>
    <w:rsid w:val="00316F35"/>
    <w:rsid w:val="00360274"/>
    <w:rsid w:val="0036188E"/>
    <w:rsid w:val="003913E6"/>
    <w:rsid w:val="0045552D"/>
    <w:rsid w:val="00490BDA"/>
    <w:rsid w:val="005404DD"/>
    <w:rsid w:val="0059316C"/>
    <w:rsid w:val="005E1E9D"/>
    <w:rsid w:val="005F7E8A"/>
    <w:rsid w:val="0067652C"/>
    <w:rsid w:val="006A5576"/>
    <w:rsid w:val="006C4CB1"/>
    <w:rsid w:val="006C5B58"/>
    <w:rsid w:val="00720928"/>
    <w:rsid w:val="00733F36"/>
    <w:rsid w:val="007631EC"/>
    <w:rsid w:val="007823CA"/>
    <w:rsid w:val="007D455D"/>
    <w:rsid w:val="00827C11"/>
    <w:rsid w:val="008F5979"/>
    <w:rsid w:val="009359DD"/>
    <w:rsid w:val="009C2AD9"/>
    <w:rsid w:val="009D21E5"/>
    <w:rsid w:val="00A04DF9"/>
    <w:rsid w:val="00A578D2"/>
    <w:rsid w:val="00AA1CB8"/>
    <w:rsid w:val="00AC549E"/>
    <w:rsid w:val="00AD62D4"/>
    <w:rsid w:val="00B16FDA"/>
    <w:rsid w:val="00B745A3"/>
    <w:rsid w:val="00B94B15"/>
    <w:rsid w:val="00BA2B24"/>
    <w:rsid w:val="00BE5FFC"/>
    <w:rsid w:val="00C45716"/>
    <w:rsid w:val="00C50645"/>
    <w:rsid w:val="00C83ED2"/>
    <w:rsid w:val="00CC2A09"/>
    <w:rsid w:val="00DA572E"/>
    <w:rsid w:val="00E2133A"/>
    <w:rsid w:val="00E41F16"/>
    <w:rsid w:val="00ED59CE"/>
    <w:rsid w:val="00EF4B72"/>
    <w:rsid w:val="00F2046A"/>
    <w:rsid w:val="00F72F67"/>
    <w:rsid w:val="00FB5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2CA4F68"/>
  <w14:defaultImageDpi w14:val="300"/>
  <w15:docId w15:val="{2CD4677E-9F29-483B-A914-09373E65D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FFC"/>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037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Tucker</dc:creator>
  <cp:keywords/>
  <dc:description/>
  <cp:lastModifiedBy>Richard Edinger</cp:lastModifiedBy>
  <cp:revision>43</cp:revision>
  <dcterms:created xsi:type="dcterms:W3CDTF">2016-10-11T20:04:00Z</dcterms:created>
  <dcterms:modified xsi:type="dcterms:W3CDTF">2016-10-18T19:09:00Z</dcterms:modified>
</cp:coreProperties>
</file>