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880" w:type="dxa"/>
        <w:tblInd w:w="-252" w:type="dxa"/>
        <w:tblLook w:val="01E0" w:firstRow="1" w:lastRow="1" w:firstColumn="1" w:lastColumn="1" w:noHBand="0" w:noVBand="0"/>
      </w:tblPr>
      <w:tblGrid>
        <w:gridCol w:w="2908"/>
        <w:gridCol w:w="8252"/>
        <w:gridCol w:w="720"/>
      </w:tblGrid>
      <w:tr w:rsidR="00EB1BF7" w:rsidRPr="008260CF" w:rsidTr="00413B58">
        <w:trPr>
          <w:cantSplit/>
        </w:trPr>
        <w:tc>
          <w:tcPr>
            <w:tcW w:w="2908" w:type="dxa"/>
            <w:vMerge w:val="restart"/>
            <w:shd w:val="clear" w:color="auto" w:fill="auto"/>
            <w:hideMark/>
          </w:tcPr>
          <w:p w:rsidR="001611A7" w:rsidRPr="008B73C3" w:rsidRDefault="00EB1BF7" w:rsidP="00C51791">
            <w:pPr>
              <w:rPr>
                <w:rFonts w:ascii="Arial" w:hAnsi="Arial" w:cs="Arial"/>
                <w:b/>
                <w:bCs/>
                <w:sz w:val="20"/>
                <w:szCs w:val="20"/>
              </w:rPr>
            </w:pPr>
            <w:r>
              <w:rPr>
                <w:noProof/>
              </w:rPr>
              <w:drawing>
                <wp:inline distT="0" distB="0" distL="0" distR="0" wp14:anchorId="6C842D7C" wp14:editId="25D1D2AD">
                  <wp:extent cx="1589859" cy="967740"/>
                  <wp:effectExtent l="0" t="0" r="0" b="3810"/>
                  <wp:docPr id="1" name="Picture 1" descr="C:\Users\adrian\AppData\Local\Microsoft\Windows\Temporary Internet Files\Content.Word\Cardinal USC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ppData\Local\Microsoft\Windows\Temporary Internet Files\Content.Word\Cardinal USC On White Backgrou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9234" cy="973446"/>
                          </a:xfrm>
                          <a:prstGeom prst="rect">
                            <a:avLst/>
                          </a:prstGeom>
                          <a:noFill/>
                          <a:ln>
                            <a:noFill/>
                          </a:ln>
                        </pic:spPr>
                      </pic:pic>
                    </a:graphicData>
                  </a:graphic>
                </wp:inline>
              </w:drawing>
            </w:r>
          </w:p>
        </w:tc>
        <w:tc>
          <w:tcPr>
            <w:tcW w:w="8972" w:type="dxa"/>
            <w:gridSpan w:val="2"/>
            <w:shd w:val="clear" w:color="auto" w:fill="auto"/>
          </w:tcPr>
          <w:p w:rsidR="007D2C01" w:rsidRPr="008B73C3" w:rsidRDefault="007D2C01" w:rsidP="007D2C01">
            <w:pPr>
              <w:ind w:left="1844" w:hanging="1844"/>
              <w:rPr>
                <w:rFonts w:ascii="Arial" w:hAnsi="Arial" w:cs="Arial"/>
                <w:b/>
                <w:bCs/>
                <w:sz w:val="28"/>
                <w:szCs w:val="28"/>
              </w:rPr>
            </w:pPr>
            <w:r>
              <w:rPr>
                <w:rFonts w:ascii="Arial" w:hAnsi="Arial" w:cs="Arial"/>
                <w:b/>
                <w:bCs/>
                <w:sz w:val="28"/>
                <w:szCs w:val="28"/>
                <w:u w:val="single"/>
              </w:rPr>
              <w:t xml:space="preserve">ACCT </w:t>
            </w:r>
            <w:r w:rsidR="004F607F">
              <w:rPr>
                <w:rFonts w:ascii="Arial" w:hAnsi="Arial" w:cs="Arial"/>
                <w:b/>
                <w:bCs/>
                <w:sz w:val="28"/>
                <w:szCs w:val="28"/>
                <w:u w:val="single"/>
              </w:rPr>
              <w:t>614</w:t>
            </w:r>
            <w:r w:rsidR="008260CF" w:rsidRPr="008B73C3">
              <w:rPr>
                <w:rFonts w:ascii="Arial" w:hAnsi="Arial" w:cs="Arial"/>
                <w:b/>
                <w:bCs/>
                <w:sz w:val="28"/>
                <w:szCs w:val="28"/>
              </w:rPr>
              <w:t xml:space="preserve"> –</w:t>
            </w:r>
            <w:r w:rsidR="001611A7" w:rsidRPr="008B73C3">
              <w:rPr>
                <w:rFonts w:ascii="Arial" w:hAnsi="Arial" w:cs="Arial"/>
                <w:b/>
                <w:bCs/>
                <w:sz w:val="28"/>
                <w:szCs w:val="28"/>
              </w:rPr>
              <w:t xml:space="preserve"> </w:t>
            </w:r>
            <w:r w:rsidR="00E26310" w:rsidRPr="008B73C3">
              <w:rPr>
                <w:rFonts w:ascii="Arial" w:hAnsi="Arial" w:cs="Arial"/>
                <w:b/>
                <w:bCs/>
                <w:sz w:val="28"/>
                <w:szCs w:val="28"/>
              </w:rPr>
              <w:t xml:space="preserve">Accounting </w:t>
            </w:r>
            <w:r w:rsidR="004F607F">
              <w:rPr>
                <w:rFonts w:ascii="Arial" w:hAnsi="Arial" w:cs="Arial"/>
                <w:b/>
                <w:bCs/>
                <w:sz w:val="28"/>
                <w:szCs w:val="28"/>
              </w:rPr>
              <w:t>For Lawyers</w:t>
            </w:r>
          </w:p>
          <w:p w:rsidR="00BF1742" w:rsidRPr="00365FEF" w:rsidRDefault="00BF1742" w:rsidP="008B73C3">
            <w:pPr>
              <w:ind w:left="2024" w:hanging="2024"/>
              <w:rPr>
                <w:rFonts w:ascii="Arial" w:hAnsi="Arial" w:cs="Arial"/>
                <w:b/>
                <w:bCs/>
                <w:color w:val="FF0000"/>
                <w:sz w:val="28"/>
                <w:szCs w:val="28"/>
              </w:rPr>
            </w:pPr>
          </w:p>
        </w:tc>
      </w:tr>
      <w:tr w:rsidR="00EB1BF7" w:rsidRPr="008260CF" w:rsidTr="00413B58">
        <w:trPr>
          <w:gridAfter w:val="1"/>
          <w:wAfter w:w="720" w:type="dxa"/>
          <w:cantSplit/>
        </w:trPr>
        <w:tc>
          <w:tcPr>
            <w:tcW w:w="2908" w:type="dxa"/>
            <w:vMerge/>
            <w:shd w:val="clear" w:color="auto" w:fill="auto"/>
            <w:hideMark/>
          </w:tcPr>
          <w:p w:rsidR="001611A7" w:rsidRPr="008B73C3" w:rsidRDefault="001611A7" w:rsidP="00C51791">
            <w:pPr>
              <w:rPr>
                <w:rFonts w:ascii="Arial" w:hAnsi="Arial" w:cs="Arial"/>
                <w:b/>
                <w:bCs/>
                <w:sz w:val="22"/>
                <w:szCs w:val="22"/>
              </w:rPr>
            </w:pPr>
          </w:p>
        </w:tc>
        <w:tc>
          <w:tcPr>
            <w:tcW w:w="8252" w:type="dxa"/>
            <w:shd w:val="clear" w:color="auto" w:fill="auto"/>
          </w:tcPr>
          <w:p w:rsidR="00594F6B" w:rsidRPr="007604BE" w:rsidRDefault="00594F6B" w:rsidP="00C51791">
            <w:pPr>
              <w:rPr>
                <w:rFonts w:ascii="Arial" w:hAnsi="Arial" w:cs="Arial"/>
                <w:b/>
                <w:bCs/>
              </w:rPr>
            </w:pPr>
            <w:r w:rsidRPr="007604BE">
              <w:rPr>
                <w:rFonts w:ascii="Arial" w:hAnsi="Arial" w:cs="Arial"/>
                <w:b/>
                <w:bCs/>
              </w:rPr>
              <w:t xml:space="preserve">Course </w:t>
            </w:r>
            <w:r w:rsidR="001611A7" w:rsidRPr="007604BE">
              <w:rPr>
                <w:rFonts w:ascii="Arial" w:hAnsi="Arial" w:cs="Arial"/>
                <w:b/>
                <w:bCs/>
              </w:rPr>
              <w:t>Syllabus</w:t>
            </w:r>
            <w:r w:rsidR="00967F37" w:rsidRPr="007604BE">
              <w:rPr>
                <w:rFonts w:ascii="Arial" w:hAnsi="Arial" w:cs="Arial"/>
                <w:b/>
                <w:bCs/>
              </w:rPr>
              <w:t xml:space="preserve">:  </w:t>
            </w:r>
            <w:r w:rsidR="000A71CE">
              <w:rPr>
                <w:rFonts w:ascii="Arial" w:hAnsi="Arial" w:cs="Arial"/>
                <w:b/>
                <w:bCs/>
              </w:rPr>
              <w:t>Spring</w:t>
            </w:r>
            <w:r w:rsidR="008260CF" w:rsidRPr="007604BE">
              <w:rPr>
                <w:rFonts w:ascii="Arial" w:hAnsi="Arial" w:cs="Arial"/>
                <w:b/>
                <w:bCs/>
              </w:rPr>
              <w:t xml:space="preserve"> </w:t>
            </w:r>
            <w:r w:rsidRPr="007604BE">
              <w:rPr>
                <w:rFonts w:ascii="Arial" w:hAnsi="Arial" w:cs="Arial"/>
                <w:b/>
                <w:bCs/>
              </w:rPr>
              <w:t xml:space="preserve">Semester </w:t>
            </w:r>
            <w:r w:rsidR="00115024" w:rsidRPr="007604BE">
              <w:rPr>
                <w:rFonts w:ascii="Arial" w:hAnsi="Arial" w:cs="Arial"/>
                <w:b/>
                <w:bCs/>
              </w:rPr>
              <w:t>201</w:t>
            </w:r>
            <w:r w:rsidR="000A71CE">
              <w:rPr>
                <w:rFonts w:ascii="Arial" w:hAnsi="Arial" w:cs="Arial"/>
                <w:b/>
                <w:bCs/>
              </w:rPr>
              <w:t>7</w:t>
            </w:r>
            <w:r w:rsidR="000A2513" w:rsidRPr="007604BE">
              <w:rPr>
                <w:rFonts w:ascii="Arial" w:hAnsi="Arial" w:cs="Arial"/>
                <w:b/>
                <w:bCs/>
              </w:rPr>
              <w:t xml:space="preserve">  </w:t>
            </w:r>
          </w:p>
          <w:p w:rsidR="007604BE" w:rsidRDefault="00115024" w:rsidP="007604BE">
            <w:pPr>
              <w:rPr>
                <w:rFonts w:ascii="Arial" w:hAnsi="Arial" w:cs="Arial"/>
              </w:rPr>
            </w:pPr>
            <w:r w:rsidRPr="007604BE">
              <w:rPr>
                <w:rFonts w:ascii="Arial" w:hAnsi="Arial" w:cs="Arial"/>
                <w:b/>
                <w:bCs/>
              </w:rPr>
              <w:t>Section</w:t>
            </w:r>
            <w:r w:rsidR="00967F37" w:rsidRPr="007604BE">
              <w:rPr>
                <w:rFonts w:ascii="Arial" w:hAnsi="Arial" w:cs="Arial"/>
                <w:b/>
                <w:bCs/>
              </w:rPr>
              <w:t>:</w:t>
            </w:r>
            <w:r w:rsidRPr="007604BE">
              <w:rPr>
                <w:rFonts w:ascii="Arial" w:hAnsi="Arial" w:cs="Arial"/>
                <w:b/>
                <w:bCs/>
              </w:rPr>
              <w:t xml:space="preserve"> </w:t>
            </w:r>
            <w:r w:rsidR="00967F37" w:rsidRPr="007604BE">
              <w:rPr>
                <w:rFonts w:ascii="Arial" w:hAnsi="Arial" w:cs="Arial"/>
                <w:b/>
                <w:bCs/>
              </w:rPr>
              <w:t xml:space="preserve">                </w:t>
            </w:r>
            <w:r w:rsidR="004F607F">
              <w:rPr>
                <w:rFonts w:ascii="Arial" w:hAnsi="Arial" w:cs="Arial"/>
                <w:b/>
              </w:rPr>
              <w:t>03250</w:t>
            </w:r>
          </w:p>
          <w:p w:rsidR="00594F6B" w:rsidRPr="007604BE" w:rsidRDefault="00967F37" w:rsidP="004F607F">
            <w:pPr>
              <w:rPr>
                <w:rFonts w:ascii="Arial" w:hAnsi="Arial" w:cs="Arial"/>
                <w:b/>
                <w:bCs/>
              </w:rPr>
            </w:pPr>
            <w:r w:rsidRPr="007604BE">
              <w:rPr>
                <w:rFonts w:ascii="Arial" w:hAnsi="Arial" w:cs="Arial"/>
                <w:b/>
                <w:bCs/>
              </w:rPr>
              <w:t xml:space="preserve">Class Sessions:    </w:t>
            </w:r>
            <w:r w:rsidR="000A71CE">
              <w:rPr>
                <w:rFonts w:ascii="Arial" w:hAnsi="Arial" w:cs="Arial"/>
                <w:b/>
                <w:bCs/>
              </w:rPr>
              <w:t>Tuesday</w:t>
            </w:r>
            <w:r w:rsidR="004F607F">
              <w:rPr>
                <w:rFonts w:ascii="Arial" w:hAnsi="Arial" w:cs="Arial"/>
                <w:b/>
                <w:bCs/>
              </w:rPr>
              <w:t xml:space="preserve"> 3 to 5:4</w:t>
            </w:r>
            <w:r w:rsidR="008D37B2">
              <w:rPr>
                <w:rFonts w:ascii="Arial" w:hAnsi="Arial" w:cs="Arial"/>
                <w:b/>
                <w:bCs/>
              </w:rPr>
              <w:t>0 PM</w:t>
            </w:r>
            <w:r w:rsidR="005E642D" w:rsidRPr="007604BE">
              <w:rPr>
                <w:rFonts w:ascii="Arial" w:hAnsi="Arial" w:cs="Arial"/>
                <w:b/>
                <w:bCs/>
              </w:rPr>
              <w:t xml:space="preserve">  </w:t>
            </w:r>
            <w:r w:rsidR="00B209FC">
              <w:rPr>
                <w:rFonts w:ascii="Arial" w:hAnsi="Arial" w:cs="Arial"/>
                <w:b/>
                <w:bCs/>
              </w:rPr>
              <w:t>Classr</w:t>
            </w:r>
            <w:r w:rsidR="0027319C" w:rsidRPr="007604BE">
              <w:rPr>
                <w:rFonts w:ascii="Arial" w:hAnsi="Arial" w:cs="Arial"/>
                <w:b/>
                <w:bCs/>
              </w:rPr>
              <w:t xml:space="preserve">oom </w:t>
            </w:r>
            <w:r w:rsidR="000A71CE">
              <w:rPr>
                <w:rFonts w:ascii="Arial" w:hAnsi="Arial" w:cs="Arial"/>
                <w:b/>
                <w:bCs/>
              </w:rPr>
              <w:t>Gould 130</w:t>
            </w:r>
          </w:p>
        </w:tc>
      </w:tr>
      <w:tr w:rsidR="00EB1BF7" w:rsidRPr="008260CF" w:rsidTr="00413B58">
        <w:trPr>
          <w:gridAfter w:val="1"/>
          <w:wAfter w:w="720" w:type="dxa"/>
          <w:cantSplit/>
        </w:trPr>
        <w:tc>
          <w:tcPr>
            <w:tcW w:w="2908" w:type="dxa"/>
            <w:vMerge/>
            <w:shd w:val="clear" w:color="auto" w:fill="auto"/>
            <w:hideMark/>
          </w:tcPr>
          <w:p w:rsidR="001611A7" w:rsidRPr="008B73C3" w:rsidRDefault="001611A7" w:rsidP="00C51791">
            <w:pPr>
              <w:rPr>
                <w:rFonts w:ascii="Arial" w:hAnsi="Arial" w:cs="Arial"/>
                <w:b/>
                <w:bCs/>
                <w:sz w:val="22"/>
                <w:szCs w:val="22"/>
              </w:rPr>
            </w:pPr>
          </w:p>
        </w:tc>
        <w:tc>
          <w:tcPr>
            <w:tcW w:w="8252" w:type="dxa"/>
            <w:shd w:val="clear" w:color="auto" w:fill="auto"/>
            <w:hideMark/>
          </w:tcPr>
          <w:p w:rsidR="001611A7" w:rsidRPr="007604BE" w:rsidRDefault="001611A7" w:rsidP="008B73C3">
            <w:pPr>
              <w:tabs>
                <w:tab w:val="left" w:pos="1574"/>
              </w:tabs>
              <w:rPr>
                <w:rFonts w:ascii="Arial" w:hAnsi="Arial" w:cs="Arial"/>
                <w:b/>
                <w:bCs/>
              </w:rPr>
            </w:pPr>
            <w:r w:rsidRPr="007604BE">
              <w:rPr>
                <w:rFonts w:ascii="Arial" w:hAnsi="Arial" w:cs="Arial"/>
                <w:b/>
                <w:bCs/>
              </w:rPr>
              <w:t>Professor:</w:t>
            </w:r>
            <w:r w:rsidR="008260CF" w:rsidRPr="007604BE">
              <w:rPr>
                <w:rFonts w:ascii="Arial" w:hAnsi="Arial" w:cs="Arial"/>
                <w:b/>
                <w:bCs/>
              </w:rPr>
              <w:t xml:space="preserve"> </w:t>
            </w:r>
            <w:r w:rsidR="008260CF" w:rsidRPr="007604BE">
              <w:rPr>
                <w:rFonts w:ascii="Arial" w:hAnsi="Arial" w:cs="Arial"/>
                <w:b/>
                <w:bCs/>
              </w:rPr>
              <w:tab/>
            </w:r>
            <w:r w:rsidR="00967F37" w:rsidRPr="007604BE">
              <w:rPr>
                <w:rFonts w:ascii="Arial" w:hAnsi="Arial" w:cs="Arial"/>
                <w:b/>
                <w:bCs/>
              </w:rPr>
              <w:t xml:space="preserve">      </w:t>
            </w:r>
            <w:r w:rsidR="007604BE">
              <w:rPr>
                <w:rFonts w:ascii="Arial" w:hAnsi="Arial" w:cs="Arial"/>
                <w:b/>
                <w:bCs/>
              </w:rPr>
              <w:t xml:space="preserve">  </w:t>
            </w:r>
            <w:r w:rsidR="00C5071C">
              <w:rPr>
                <w:rFonts w:ascii="Arial" w:hAnsi="Arial" w:cs="Arial"/>
                <w:b/>
                <w:bCs/>
              </w:rPr>
              <w:t>Adrian Stern CPA, CFE</w:t>
            </w:r>
          </w:p>
        </w:tc>
      </w:tr>
      <w:tr w:rsidR="00EB1BF7" w:rsidRPr="008260CF" w:rsidTr="00413B58">
        <w:trPr>
          <w:gridAfter w:val="1"/>
          <w:wAfter w:w="720" w:type="dxa"/>
          <w:cantSplit/>
        </w:trPr>
        <w:tc>
          <w:tcPr>
            <w:tcW w:w="2908" w:type="dxa"/>
            <w:vMerge/>
            <w:shd w:val="clear" w:color="auto" w:fill="auto"/>
            <w:hideMark/>
          </w:tcPr>
          <w:p w:rsidR="001611A7" w:rsidRPr="008B73C3" w:rsidRDefault="001611A7" w:rsidP="00C51791">
            <w:pPr>
              <w:rPr>
                <w:rFonts w:ascii="Arial" w:hAnsi="Arial" w:cs="Arial"/>
                <w:b/>
                <w:bCs/>
                <w:sz w:val="22"/>
                <w:szCs w:val="22"/>
              </w:rPr>
            </w:pPr>
          </w:p>
        </w:tc>
        <w:tc>
          <w:tcPr>
            <w:tcW w:w="8252" w:type="dxa"/>
            <w:shd w:val="clear" w:color="auto" w:fill="auto"/>
            <w:hideMark/>
          </w:tcPr>
          <w:p w:rsidR="00594F6B" w:rsidRPr="007604BE" w:rsidRDefault="001611A7" w:rsidP="008B73C3">
            <w:pPr>
              <w:tabs>
                <w:tab w:val="left" w:pos="1574"/>
              </w:tabs>
              <w:rPr>
                <w:rFonts w:ascii="Arial" w:hAnsi="Arial" w:cs="Arial"/>
                <w:b/>
                <w:bCs/>
              </w:rPr>
            </w:pPr>
            <w:r w:rsidRPr="007604BE">
              <w:rPr>
                <w:rFonts w:ascii="Arial" w:hAnsi="Arial" w:cs="Arial"/>
                <w:b/>
                <w:bCs/>
              </w:rPr>
              <w:t xml:space="preserve">Office: </w:t>
            </w:r>
            <w:r w:rsidR="008260CF" w:rsidRPr="007604BE">
              <w:rPr>
                <w:rFonts w:ascii="Arial" w:hAnsi="Arial" w:cs="Arial"/>
                <w:b/>
                <w:bCs/>
              </w:rPr>
              <w:tab/>
            </w:r>
            <w:r w:rsidR="00967F37" w:rsidRPr="007604BE">
              <w:rPr>
                <w:rFonts w:ascii="Arial" w:hAnsi="Arial" w:cs="Arial"/>
                <w:b/>
                <w:bCs/>
              </w:rPr>
              <w:t xml:space="preserve">      </w:t>
            </w:r>
            <w:r w:rsidR="007604BE">
              <w:rPr>
                <w:rFonts w:ascii="Arial" w:hAnsi="Arial" w:cs="Arial"/>
                <w:b/>
                <w:bCs/>
              </w:rPr>
              <w:t xml:space="preserve">  </w:t>
            </w:r>
            <w:r w:rsidR="003848BA" w:rsidRPr="007604BE">
              <w:rPr>
                <w:rFonts w:ascii="Arial" w:hAnsi="Arial" w:cs="Arial"/>
                <w:b/>
                <w:bCs/>
              </w:rPr>
              <w:t xml:space="preserve">ACC </w:t>
            </w:r>
            <w:r w:rsidR="00C5071C">
              <w:rPr>
                <w:rFonts w:ascii="Arial" w:hAnsi="Arial" w:cs="Arial"/>
                <w:b/>
                <w:bCs/>
              </w:rPr>
              <w:t>107</w:t>
            </w:r>
          </w:p>
        </w:tc>
      </w:tr>
      <w:tr w:rsidR="00EB1BF7" w:rsidRPr="008260CF" w:rsidTr="00413B58">
        <w:trPr>
          <w:gridAfter w:val="1"/>
          <w:wAfter w:w="720" w:type="dxa"/>
          <w:cantSplit/>
        </w:trPr>
        <w:tc>
          <w:tcPr>
            <w:tcW w:w="2908" w:type="dxa"/>
            <w:vMerge/>
            <w:shd w:val="clear" w:color="auto" w:fill="auto"/>
            <w:hideMark/>
          </w:tcPr>
          <w:p w:rsidR="001611A7" w:rsidRPr="008B73C3" w:rsidRDefault="001611A7" w:rsidP="00C51791">
            <w:pPr>
              <w:rPr>
                <w:rFonts w:ascii="Arial" w:hAnsi="Arial" w:cs="Arial"/>
                <w:b/>
                <w:bCs/>
                <w:sz w:val="22"/>
                <w:szCs w:val="22"/>
              </w:rPr>
            </w:pPr>
          </w:p>
        </w:tc>
        <w:tc>
          <w:tcPr>
            <w:tcW w:w="8252" w:type="dxa"/>
            <w:shd w:val="clear" w:color="auto" w:fill="auto"/>
            <w:hideMark/>
          </w:tcPr>
          <w:p w:rsidR="00BF1742" w:rsidRPr="00AA72C2" w:rsidRDefault="008260CF" w:rsidP="008B73C3">
            <w:pPr>
              <w:tabs>
                <w:tab w:val="left" w:pos="1574"/>
              </w:tabs>
              <w:rPr>
                <w:rFonts w:ascii="Arial" w:hAnsi="Arial" w:cs="Arial"/>
                <w:b/>
                <w:bCs/>
                <w:lang w:val="fr-FR"/>
              </w:rPr>
            </w:pPr>
            <w:r w:rsidRPr="00AA72C2">
              <w:rPr>
                <w:rFonts w:ascii="Arial" w:hAnsi="Arial" w:cs="Arial"/>
                <w:b/>
                <w:bCs/>
                <w:lang w:val="fr-FR"/>
              </w:rPr>
              <w:t>Phone</w:t>
            </w:r>
            <w:r w:rsidR="00967F37" w:rsidRPr="00AA72C2">
              <w:rPr>
                <w:rFonts w:ascii="Arial" w:hAnsi="Arial" w:cs="Arial"/>
                <w:b/>
                <w:bCs/>
                <w:lang w:val="fr-FR"/>
              </w:rPr>
              <w:t>/Voicemail</w:t>
            </w:r>
            <w:r w:rsidRPr="00AA72C2">
              <w:rPr>
                <w:rFonts w:ascii="Arial" w:hAnsi="Arial" w:cs="Arial"/>
                <w:b/>
                <w:bCs/>
                <w:lang w:val="fr-FR"/>
              </w:rPr>
              <w:t xml:space="preserve">: </w:t>
            </w:r>
            <w:r w:rsidR="00967F37" w:rsidRPr="00AA72C2">
              <w:rPr>
                <w:rFonts w:ascii="Arial" w:hAnsi="Arial" w:cs="Arial"/>
                <w:b/>
                <w:bCs/>
                <w:lang w:val="fr-FR"/>
              </w:rPr>
              <w:t xml:space="preserve"> </w:t>
            </w:r>
            <w:r w:rsidR="00C5071C">
              <w:rPr>
                <w:rFonts w:ascii="Arial" w:hAnsi="Arial" w:cs="Arial"/>
                <w:b/>
                <w:bCs/>
                <w:lang w:val="fr-FR"/>
              </w:rPr>
              <w:t>818-970-0986</w:t>
            </w:r>
          </w:p>
          <w:p w:rsidR="00BF1742" w:rsidRPr="007604BE" w:rsidRDefault="00967F37" w:rsidP="008B73C3">
            <w:pPr>
              <w:tabs>
                <w:tab w:val="left" w:pos="1574"/>
              </w:tabs>
              <w:rPr>
                <w:rFonts w:ascii="Arial" w:hAnsi="Arial" w:cs="Arial"/>
                <w:b/>
                <w:bCs/>
                <w:lang w:val="de-DE"/>
              </w:rPr>
            </w:pPr>
            <w:r w:rsidRPr="007604BE">
              <w:rPr>
                <w:rFonts w:ascii="Arial" w:hAnsi="Arial" w:cs="Arial"/>
                <w:b/>
                <w:bCs/>
                <w:lang w:val="de-DE"/>
              </w:rPr>
              <w:t>E-M</w:t>
            </w:r>
            <w:r w:rsidR="00BF1742" w:rsidRPr="007604BE">
              <w:rPr>
                <w:rFonts w:ascii="Arial" w:hAnsi="Arial" w:cs="Arial"/>
                <w:b/>
                <w:bCs/>
                <w:lang w:val="de-DE"/>
              </w:rPr>
              <w:t xml:space="preserve">ail: </w:t>
            </w:r>
            <w:r w:rsidR="00BF1742" w:rsidRPr="007604BE">
              <w:rPr>
                <w:rFonts w:ascii="Arial" w:hAnsi="Arial" w:cs="Arial"/>
                <w:b/>
                <w:bCs/>
                <w:lang w:val="de-DE"/>
              </w:rPr>
              <w:tab/>
            </w:r>
            <w:r w:rsidRPr="007604BE">
              <w:rPr>
                <w:rFonts w:ascii="Arial" w:hAnsi="Arial" w:cs="Arial"/>
                <w:b/>
                <w:bCs/>
                <w:lang w:val="de-DE"/>
              </w:rPr>
              <w:t xml:space="preserve">     </w:t>
            </w:r>
            <w:r w:rsidR="007604BE">
              <w:rPr>
                <w:rFonts w:ascii="Arial" w:hAnsi="Arial" w:cs="Arial"/>
                <w:b/>
                <w:bCs/>
                <w:lang w:val="de-DE"/>
              </w:rPr>
              <w:t xml:space="preserve">   </w:t>
            </w:r>
            <w:r w:rsidR="00C5071C">
              <w:rPr>
                <w:rFonts w:ascii="Arial" w:hAnsi="Arial" w:cs="Arial"/>
                <w:b/>
                <w:bCs/>
                <w:lang w:val="de-DE"/>
              </w:rPr>
              <w:t>adrianst@marshall.usc.edu</w:t>
            </w:r>
          </w:p>
          <w:p w:rsidR="001611A7" w:rsidRPr="007604BE" w:rsidRDefault="001611A7" w:rsidP="004F607F">
            <w:pPr>
              <w:tabs>
                <w:tab w:val="left" w:pos="1574"/>
              </w:tabs>
              <w:rPr>
                <w:rFonts w:ascii="Arial" w:hAnsi="Arial" w:cs="Arial"/>
                <w:bCs/>
                <w:i/>
              </w:rPr>
            </w:pPr>
            <w:r w:rsidRPr="007604BE">
              <w:rPr>
                <w:rFonts w:ascii="Arial" w:hAnsi="Arial" w:cs="Arial"/>
                <w:b/>
                <w:bCs/>
              </w:rPr>
              <w:t>Office Hours</w:t>
            </w:r>
            <w:r w:rsidR="007604BE">
              <w:rPr>
                <w:rFonts w:ascii="Arial" w:hAnsi="Arial" w:cs="Arial"/>
                <w:b/>
                <w:bCs/>
              </w:rPr>
              <w:t xml:space="preserve">: </w:t>
            </w:r>
            <w:r w:rsidR="00967F37" w:rsidRPr="007604BE">
              <w:rPr>
                <w:rFonts w:ascii="Arial" w:hAnsi="Arial" w:cs="Arial"/>
                <w:b/>
                <w:bCs/>
              </w:rPr>
              <w:t xml:space="preserve"> </w:t>
            </w:r>
            <w:r w:rsidR="007604BE">
              <w:rPr>
                <w:rFonts w:ascii="Arial" w:hAnsi="Arial" w:cs="Arial"/>
                <w:b/>
                <w:bCs/>
              </w:rPr>
              <w:t xml:space="preserve">       </w:t>
            </w:r>
            <w:r w:rsidR="004F607F">
              <w:rPr>
                <w:rFonts w:ascii="Arial" w:hAnsi="Arial" w:cs="Arial"/>
                <w:b/>
                <w:bCs/>
              </w:rPr>
              <w:t>B</w:t>
            </w:r>
            <w:r w:rsidR="007E5F11" w:rsidRPr="007604BE">
              <w:rPr>
                <w:rFonts w:ascii="Arial" w:hAnsi="Arial" w:cs="Arial"/>
                <w:b/>
                <w:bCs/>
              </w:rPr>
              <w:t>y</w:t>
            </w:r>
            <w:r w:rsidR="001D0404">
              <w:rPr>
                <w:rFonts w:ascii="Arial" w:hAnsi="Arial" w:cs="Arial"/>
                <w:b/>
                <w:bCs/>
              </w:rPr>
              <w:t xml:space="preserve"> </w:t>
            </w:r>
            <w:r w:rsidR="007604BE">
              <w:rPr>
                <w:rFonts w:ascii="Arial" w:hAnsi="Arial" w:cs="Arial"/>
                <w:b/>
                <w:bCs/>
              </w:rPr>
              <w:t>a</w:t>
            </w:r>
            <w:r w:rsidR="007E5F11" w:rsidRPr="007604BE">
              <w:rPr>
                <w:rFonts w:ascii="Arial" w:hAnsi="Arial" w:cs="Arial"/>
                <w:b/>
                <w:bCs/>
              </w:rPr>
              <w:t>ppointment</w:t>
            </w:r>
          </w:p>
        </w:tc>
      </w:tr>
      <w:tr w:rsidR="00EB1BF7" w:rsidRPr="008260CF" w:rsidTr="00413B58">
        <w:trPr>
          <w:gridAfter w:val="1"/>
          <w:wAfter w:w="720" w:type="dxa"/>
          <w:cantSplit/>
        </w:trPr>
        <w:tc>
          <w:tcPr>
            <w:tcW w:w="2908" w:type="dxa"/>
            <w:vMerge/>
            <w:shd w:val="clear" w:color="auto" w:fill="auto"/>
            <w:hideMark/>
          </w:tcPr>
          <w:p w:rsidR="001611A7" w:rsidRPr="008B73C3" w:rsidRDefault="001611A7" w:rsidP="00C51791">
            <w:pPr>
              <w:rPr>
                <w:rFonts w:ascii="Arial" w:hAnsi="Arial" w:cs="Arial"/>
                <w:b/>
                <w:bCs/>
                <w:sz w:val="22"/>
                <w:szCs w:val="22"/>
              </w:rPr>
            </w:pPr>
          </w:p>
        </w:tc>
        <w:tc>
          <w:tcPr>
            <w:tcW w:w="8252" w:type="dxa"/>
            <w:shd w:val="clear" w:color="auto" w:fill="auto"/>
            <w:hideMark/>
          </w:tcPr>
          <w:p w:rsidR="001611A7" w:rsidRPr="008B73C3" w:rsidRDefault="001611A7" w:rsidP="008B73C3">
            <w:pPr>
              <w:tabs>
                <w:tab w:val="left" w:pos="1564"/>
              </w:tabs>
              <w:ind w:left="-18"/>
              <w:rPr>
                <w:rFonts w:ascii="Arial" w:hAnsi="Arial" w:cs="Arial"/>
                <w:bCs/>
                <w:sz w:val="22"/>
                <w:szCs w:val="22"/>
                <w:lang w:val="de-DE"/>
              </w:rPr>
            </w:pPr>
          </w:p>
        </w:tc>
      </w:tr>
    </w:tbl>
    <w:p w:rsidR="00BB5441" w:rsidRDefault="000A5C5D" w:rsidP="001611A7">
      <w:pPr>
        <w:outlineLvl w:val="0"/>
        <w:rPr>
          <w:rFonts w:ascii="Arial" w:hAnsi="Arial" w:cs="Arial"/>
          <w:b/>
          <w:bCs/>
          <w:sz w:val="22"/>
          <w:szCs w:val="22"/>
          <w:u w:val="single"/>
        </w:rPr>
      </w:pPr>
      <w:r>
        <w:rPr>
          <w:noProof/>
        </w:rPr>
        <mc:AlternateContent>
          <mc:Choice Requires="wps">
            <w:drawing>
              <wp:anchor distT="4294967294" distB="4294967294" distL="114300" distR="114300" simplePos="0" relativeHeight="251657728" behindDoc="0" locked="0" layoutInCell="1" allowOverlap="1" wp14:anchorId="1128DF26" wp14:editId="68055F96">
                <wp:simplePos x="0" y="0"/>
                <wp:positionH relativeFrom="column">
                  <wp:posOffset>-161925</wp:posOffset>
                </wp:positionH>
                <wp:positionV relativeFrom="paragraph">
                  <wp:posOffset>93979</wp:posOffset>
                </wp:positionV>
                <wp:extent cx="5789295" cy="0"/>
                <wp:effectExtent l="38100" t="38100" r="40005"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929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C256C48" id="Straight Connector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75pt,7.4pt" to="443.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" strokecolor="windowText" strokeweight="2pt">
                <v:shadow on="t" color="black" opacity="24903f" origin=",.5" offset="0,.55556mm"/>
                <o:lock v:ext="edit" shapetype="f"/>
              </v:line>
            </w:pict>
          </mc:Fallback>
        </mc:AlternateContent>
      </w:r>
    </w:p>
    <w:p w:rsidR="00BB5441" w:rsidRDefault="00BB5441" w:rsidP="001611A7">
      <w:pPr>
        <w:outlineLvl w:val="0"/>
        <w:rPr>
          <w:rFonts w:ascii="Arial" w:hAnsi="Arial" w:cs="Arial"/>
          <w:b/>
          <w:bCs/>
          <w:sz w:val="22"/>
          <w:szCs w:val="22"/>
          <w:u w:val="single"/>
        </w:rPr>
      </w:pPr>
    </w:p>
    <w:p w:rsidR="001611A7" w:rsidRPr="001B634D" w:rsidRDefault="001611A7" w:rsidP="001611A7">
      <w:pPr>
        <w:outlineLvl w:val="0"/>
        <w:rPr>
          <w:b/>
          <w:bCs/>
          <w:u w:val="single"/>
        </w:rPr>
      </w:pPr>
      <w:r w:rsidRPr="001B634D">
        <w:rPr>
          <w:b/>
          <w:bCs/>
          <w:u w:val="single"/>
        </w:rPr>
        <w:t>Course Description</w:t>
      </w:r>
      <w:r w:rsidR="00DE39FC" w:rsidRPr="001B634D">
        <w:rPr>
          <w:b/>
          <w:bCs/>
          <w:u w:val="single"/>
        </w:rPr>
        <w:t xml:space="preserve">  </w:t>
      </w:r>
    </w:p>
    <w:p w:rsidR="001C4F9A" w:rsidRPr="001B634D" w:rsidRDefault="001C4F9A" w:rsidP="001C4F9A">
      <w:pPr>
        <w:ind w:firstLine="720"/>
        <w:jc w:val="both"/>
      </w:pPr>
    </w:p>
    <w:p w:rsidR="004F607F" w:rsidRPr="003D6573" w:rsidRDefault="004F607F" w:rsidP="004F607F">
      <w:pPr>
        <w:spacing w:line="276" w:lineRule="auto"/>
        <w:jc w:val="both"/>
        <w:rPr>
          <w:rFonts w:eastAsiaTheme="minorHAnsi"/>
        </w:rPr>
      </w:pPr>
      <w:r w:rsidRPr="003D6573">
        <w:rPr>
          <w:rFonts w:eastAsiaTheme="minorHAnsi"/>
        </w:rPr>
        <w:t xml:space="preserve">Accounting is essential to the effective functioning of any business organization, both for profit and not for profit organizations.  A test of any system, whether in the corporate form, partnership, or sole proprietorship and the aspects of it represented by accounting, ultimately is judged by the results which are produced, and the integrity of management and financial information.  </w:t>
      </w:r>
    </w:p>
    <w:p w:rsidR="004F607F" w:rsidRPr="003D6573" w:rsidRDefault="004F607F" w:rsidP="004F607F">
      <w:pPr>
        <w:spacing w:line="276" w:lineRule="auto"/>
        <w:jc w:val="both"/>
        <w:rPr>
          <w:rFonts w:eastAsiaTheme="minorHAnsi"/>
        </w:rPr>
      </w:pPr>
    </w:p>
    <w:p w:rsidR="004F607F" w:rsidRPr="003D6573" w:rsidRDefault="004F607F" w:rsidP="004F607F">
      <w:pPr>
        <w:spacing w:line="276" w:lineRule="auto"/>
        <w:jc w:val="both"/>
        <w:rPr>
          <w:rFonts w:eastAsiaTheme="minorHAnsi"/>
        </w:rPr>
      </w:pPr>
      <w:r w:rsidRPr="003D6573">
        <w:rPr>
          <w:rFonts w:eastAsiaTheme="minorHAnsi"/>
        </w:rPr>
        <w:t xml:space="preserve">The first third of the course will represent what a lawyer needs to know about basic accounting and financial reporting. The course will cover basic accounting and organizational issues, the basic financial statements and concepts such as cash vs. accrual methods of accounting and financial analysis.  </w:t>
      </w:r>
    </w:p>
    <w:p w:rsidR="004F607F" w:rsidRPr="003D6573" w:rsidRDefault="004F607F" w:rsidP="004F607F">
      <w:pPr>
        <w:spacing w:line="276" w:lineRule="auto"/>
        <w:jc w:val="both"/>
        <w:rPr>
          <w:rFonts w:eastAsiaTheme="minorHAnsi"/>
        </w:rPr>
      </w:pPr>
    </w:p>
    <w:p w:rsidR="004F607F" w:rsidRPr="003D6573" w:rsidRDefault="004F607F" w:rsidP="004F607F">
      <w:pPr>
        <w:spacing w:line="276" w:lineRule="auto"/>
        <w:jc w:val="both"/>
        <w:rPr>
          <w:rFonts w:eastAsiaTheme="minorHAnsi"/>
        </w:rPr>
      </w:pPr>
      <w:r w:rsidRPr="003D6573">
        <w:rPr>
          <w:rFonts w:eastAsiaTheme="minorHAnsi"/>
        </w:rPr>
        <w:t>The remaining two-thirds will cover a broad range of topics including:</w:t>
      </w:r>
    </w:p>
    <w:p w:rsidR="004F607F" w:rsidRPr="003D6573" w:rsidRDefault="004F607F" w:rsidP="004F607F">
      <w:pPr>
        <w:spacing w:line="276" w:lineRule="auto"/>
        <w:jc w:val="both"/>
        <w:rPr>
          <w:rFonts w:eastAsiaTheme="minorHAnsi"/>
        </w:rPr>
      </w:pPr>
    </w:p>
    <w:p w:rsidR="004F607F" w:rsidRPr="003D6573" w:rsidRDefault="004F607F" w:rsidP="004F607F">
      <w:pPr>
        <w:numPr>
          <w:ilvl w:val="0"/>
          <w:numId w:val="16"/>
        </w:numPr>
        <w:spacing w:line="276" w:lineRule="auto"/>
        <w:contextualSpacing/>
        <w:jc w:val="both"/>
        <w:rPr>
          <w:rFonts w:eastAsiaTheme="minorHAnsi"/>
        </w:rPr>
      </w:pPr>
      <w:r w:rsidRPr="003D6573">
        <w:rPr>
          <w:rFonts w:eastAsiaTheme="minorHAnsi"/>
        </w:rPr>
        <w:t>Accounting for Law Firms</w:t>
      </w:r>
    </w:p>
    <w:p w:rsidR="004F607F" w:rsidRPr="003D6573" w:rsidRDefault="004F607F" w:rsidP="004F607F">
      <w:pPr>
        <w:numPr>
          <w:ilvl w:val="0"/>
          <w:numId w:val="16"/>
        </w:numPr>
        <w:spacing w:line="276" w:lineRule="auto"/>
        <w:contextualSpacing/>
        <w:jc w:val="both"/>
        <w:rPr>
          <w:rFonts w:eastAsiaTheme="minorHAnsi"/>
        </w:rPr>
      </w:pPr>
      <w:r w:rsidRPr="003D6573">
        <w:rPr>
          <w:rFonts w:eastAsiaTheme="minorHAnsi"/>
        </w:rPr>
        <w:t>Accounting for Businesses with Inventory</w:t>
      </w:r>
    </w:p>
    <w:p w:rsidR="004F607F" w:rsidRPr="003D6573" w:rsidRDefault="004F607F" w:rsidP="004F607F">
      <w:pPr>
        <w:numPr>
          <w:ilvl w:val="0"/>
          <w:numId w:val="16"/>
        </w:numPr>
        <w:spacing w:line="276" w:lineRule="auto"/>
        <w:contextualSpacing/>
        <w:jc w:val="both"/>
        <w:rPr>
          <w:rFonts w:eastAsiaTheme="minorHAnsi"/>
        </w:rPr>
      </w:pPr>
      <w:r w:rsidRPr="003D6573">
        <w:rPr>
          <w:rFonts w:eastAsiaTheme="minorHAnsi"/>
        </w:rPr>
        <w:t>Using the Financial Statement to Calculate Damages in Litigation Matters</w:t>
      </w:r>
    </w:p>
    <w:p w:rsidR="004F607F" w:rsidRPr="003D6573" w:rsidRDefault="004F607F" w:rsidP="004F607F">
      <w:pPr>
        <w:numPr>
          <w:ilvl w:val="0"/>
          <w:numId w:val="16"/>
        </w:numPr>
        <w:spacing w:line="276" w:lineRule="auto"/>
        <w:contextualSpacing/>
        <w:jc w:val="both"/>
        <w:rPr>
          <w:rFonts w:eastAsiaTheme="minorHAnsi"/>
        </w:rPr>
      </w:pPr>
      <w:r w:rsidRPr="003D6573">
        <w:rPr>
          <w:rFonts w:eastAsiaTheme="minorHAnsi"/>
        </w:rPr>
        <w:t>Business Valuations Using Financial Statements</w:t>
      </w:r>
    </w:p>
    <w:p w:rsidR="004F607F" w:rsidRPr="003D6573" w:rsidRDefault="004F607F" w:rsidP="004F607F">
      <w:pPr>
        <w:numPr>
          <w:ilvl w:val="0"/>
          <w:numId w:val="16"/>
        </w:numPr>
        <w:spacing w:line="276" w:lineRule="auto"/>
        <w:contextualSpacing/>
        <w:jc w:val="both"/>
        <w:rPr>
          <w:rFonts w:eastAsiaTheme="minorHAnsi"/>
        </w:rPr>
      </w:pPr>
      <w:r w:rsidRPr="003D6573">
        <w:rPr>
          <w:rFonts w:eastAsiaTheme="minorHAnsi"/>
        </w:rPr>
        <w:t>Using the Financial Statements in Buying and Selling Businesses</w:t>
      </w:r>
    </w:p>
    <w:p w:rsidR="004F607F" w:rsidRPr="003D6573" w:rsidRDefault="004F607F" w:rsidP="004F607F">
      <w:pPr>
        <w:numPr>
          <w:ilvl w:val="0"/>
          <w:numId w:val="16"/>
        </w:numPr>
        <w:spacing w:line="276" w:lineRule="auto"/>
        <w:contextualSpacing/>
        <w:jc w:val="both"/>
        <w:rPr>
          <w:rFonts w:eastAsiaTheme="minorHAnsi"/>
        </w:rPr>
      </w:pPr>
      <w:r w:rsidRPr="003D6573">
        <w:rPr>
          <w:rFonts w:eastAsiaTheme="minorHAnsi"/>
        </w:rPr>
        <w:t>Goodwill: What is it? Why is it important? Where Does it Come From?</w:t>
      </w:r>
    </w:p>
    <w:p w:rsidR="004F607F" w:rsidRPr="003D6573" w:rsidRDefault="004F607F" w:rsidP="004F607F">
      <w:pPr>
        <w:numPr>
          <w:ilvl w:val="0"/>
          <w:numId w:val="16"/>
        </w:numPr>
        <w:spacing w:line="276" w:lineRule="auto"/>
        <w:contextualSpacing/>
        <w:jc w:val="both"/>
        <w:rPr>
          <w:rFonts w:eastAsiaTheme="minorHAnsi"/>
        </w:rPr>
      </w:pPr>
      <w:r w:rsidRPr="003D6573">
        <w:rPr>
          <w:rFonts w:eastAsiaTheme="minorHAnsi"/>
        </w:rPr>
        <w:t>The Difference between For-Profit and Non-Profit Accounting.</w:t>
      </w:r>
    </w:p>
    <w:p w:rsidR="004F607F" w:rsidRPr="003D6573" w:rsidRDefault="004F607F" w:rsidP="004F607F">
      <w:pPr>
        <w:numPr>
          <w:ilvl w:val="0"/>
          <w:numId w:val="16"/>
        </w:numPr>
        <w:spacing w:line="276" w:lineRule="auto"/>
        <w:contextualSpacing/>
        <w:jc w:val="both"/>
        <w:rPr>
          <w:rFonts w:eastAsiaTheme="minorHAnsi"/>
        </w:rPr>
      </w:pPr>
      <w:r w:rsidRPr="003D6573">
        <w:rPr>
          <w:rFonts w:eastAsiaTheme="minorHAnsi"/>
        </w:rPr>
        <w:t>Income Taxes and How They Impact Financial Statements</w:t>
      </w:r>
    </w:p>
    <w:p w:rsidR="004F607F" w:rsidRPr="003D6573" w:rsidRDefault="004F607F" w:rsidP="004F607F">
      <w:pPr>
        <w:numPr>
          <w:ilvl w:val="0"/>
          <w:numId w:val="16"/>
        </w:numPr>
        <w:spacing w:line="276" w:lineRule="auto"/>
        <w:contextualSpacing/>
        <w:jc w:val="both"/>
        <w:rPr>
          <w:rFonts w:eastAsiaTheme="minorHAnsi"/>
        </w:rPr>
      </w:pPr>
      <w:r w:rsidRPr="003D6573">
        <w:rPr>
          <w:rFonts w:eastAsiaTheme="minorHAnsi"/>
        </w:rPr>
        <w:t>Fraud In Financial Statements</w:t>
      </w:r>
    </w:p>
    <w:p w:rsidR="004F607F" w:rsidRPr="003D6573" w:rsidRDefault="004F607F" w:rsidP="004F607F">
      <w:pPr>
        <w:numPr>
          <w:ilvl w:val="0"/>
          <w:numId w:val="16"/>
        </w:numPr>
        <w:spacing w:line="276" w:lineRule="auto"/>
        <w:contextualSpacing/>
        <w:jc w:val="both"/>
        <w:rPr>
          <w:rFonts w:eastAsiaTheme="minorHAnsi"/>
        </w:rPr>
      </w:pPr>
      <w:r w:rsidRPr="003D6573">
        <w:rPr>
          <w:rFonts w:eastAsiaTheme="minorHAnsi"/>
        </w:rPr>
        <w:t>Accounting Software: QuickBooks and Beyond</w:t>
      </w:r>
    </w:p>
    <w:p w:rsidR="004F607F" w:rsidRPr="003D6573" w:rsidRDefault="004F607F" w:rsidP="004F607F">
      <w:pPr>
        <w:numPr>
          <w:ilvl w:val="0"/>
          <w:numId w:val="16"/>
        </w:numPr>
        <w:spacing w:line="276" w:lineRule="auto"/>
        <w:contextualSpacing/>
        <w:jc w:val="both"/>
        <w:rPr>
          <w:rFonts w:eastAsiaTheme="minorHAnsi"/>
        </w:rPr>
      </w:pPr>
      <w:r w:rsidRPr="003D6573">
        <w:rPr>
          <w:rFonts w:eastAsiaTheme="minorHAnsi"/>
        </w:rPr>
        <w:t>The Auditor's Role Involving Financial Statements and the Attorney</w:t>
      </w:r>
    </w:p>
    <w:p w:rsidR="004F607F" w:rsidRPr="003D6573" w:rsidRDefault="004F607F" w:rsidP="004F607F">
      <w:pPr>
        <w:numPr>
          <w:ilvl w:val="0"/>
          <w:numId w:val="16"/>
        </w:numPr>
        <w:spacing w:line="276" w:lineRule="auto"/>
        <w:contextualSpacing/>
        <w:jc w:val="both"/>
        <w:rPr>
          <w:rFonts w:eastAsiaTheme="minorHAnsi"/>
        </w:rPr>
      </w:pPr>
      <w:r w:rsidRPr="003D6573">
        <w:rPr>
          <w:rFonts w:eastAsiaTheme="minorHAnsi"/>
        </w:rPr>
        <w:t>Financial Statements Projections and Forecast</w:t>
      </w:r>
    </w:p>
    <w:p w:rsidR="004F607F" w:rsidRPr="003D6573" w:rsidRDefault="004F607F" w:rsidP="004F607F">
      <w:pPr>
        <w:numPr>
          <w:ilvl w:val="0"/>
          <w:numId w:val="16"/>
        </w:numPr>
        <w:spacing w:line="276" w:lineRule="auto"/>
        <w:contextualSpacing/>
        <w:jc w:val="both"/>
        <w:rPr>
          <w:rFonts w:eastAsiaTheme="minorHAnsi"/>
        </w:rPr>
      </w:pPr>
      <w:r w:rsidRPr="003D6573">
        <w:rPr>
          <w:rFonts w:eastAsiaTheme="minorHAnsi"/>
        </w:rPr>
        <w:t>The Do's and Don'ts of Accounting in Family Law Matters: Where They Hide the Money and Where You Find It</w:t>
      </w:r>
    </w:p>
    <w:p w:rsidR="001C4F9A" w:rsidRDefault="001C4F9A" w:rsidP="001C4F9A">
      <w:pPr>
        <w:ind w:firstLine="720"/>
        <w:jc w:val="both"/>
      </w:pPr>
    </w:p>
    <w:p w:rsidR="000A71CE" w:rsidRPr="004645DE" w:rsidRDefault="000A71CE" w:rsidP="001C4F9A">
      <w:pPr>
        <w:ind w:firstLine="720"/>
        <w:jc w:val="both"/>
      </w:pPr>
    </w:p>
    <w:p w:rsidR="001C4F9A" w:rsidRPr="004645DE" w:rsidRDefault="001C4F9A" w:rsidP="001C4F9A">
      <w:pPr>
        <w:jc w:val="both"/>
      </w:pPr>
    </w:p>
    <w:p w:rsidR="001C4F9A" w:rsidRPr="004645DE" w:rsidRDefault="001C4F9A" w:rsidP="001C4F9A">
      <w:pPr>
        <w:ind w:firstLine="720"/>
        <w:jc w:val="both"/>
      </w:pPr>
      <w:r w:rsidRPr="004645DE">
        <w:lastRenderedPageBreak/>
        <w:t xml:space="preserve">This course is intended for those with limited or no prior business coursework. </w:t>
      </w:r>
    </w:p>
    <w:p w:rsidR="0029710F" w:rsidRPr="004645DE" w:rsidRDefault="0029710F" w:rsidP="002E1D19"/>
    <w:p w:rsidR="002F6A5E" w:rsidRPr="001B634D" w:rsidRDefault="002E1D19" w:rsidP="00366FEE">
      <w:pPr>
        <w:spacing w:after="120"/>
      </w:pPr>
      <w:r w:rsidRPr="001B634D">
        <w:rPr>
          <w:b/>
          <w:u w:val="single"/>
        </w:rPr>
        <w:t>Learning Objectives</w:t>
      </w:r>
      <w:r w:rsidRPr="001B634D">
        <w:t xml:space="preserve"> </w:t>
      </w:r>
      <w:r w:rsidR="0029710F" w:rsidRPr="001B634D">
        <w:br/>
      </w:r>
    </w:p>
    <w:p w:rsidR="00366FEE" w:rsidRPr="001B634D" w:rsidRDefault="00366FEE" w:rsidP="00366FEE">
      <w:pPr>
        <w:spacing w:after="120"/>
        <w:ind w:firstLine="360"/>
      </w:pPr>
      <w:r w:rsidRPr="001B634D">
        <w:t xml:space="preserve">Upon completion of this course, you should be able to: </w:t>
      </w:r>
    </w:p>
    <w:p w:rsidR="00366FEE" w:rsidRPr="001B634D" w:rsidRDefault="00366FEE" w:rsidP="00366FEE">
      <w:pPr>
        <w:numPr>
          <w:ilvl w:val="0"/>
          <w:numId w:val="1"/>
        </w:numPr>
        <w:spacing w:after="120"/>
      </w:pPr>
      <w:r w:rsidRPr="001B634D">
        <w:t xml:space="preserve">Demonstrate an understanding of the key principles and assumptions used by accountants when providing information to management and other stakeholders by answering questions and solving problems. </w:t>
      </w:r>
    </w:p>
    <w:p w:rsidR="00366FEE" w:rsidRPr="001B634D" w:rsidRDefault="00366FEE" w:rsidP="00366FEE">
      <w:pPr>
        <w:numPr>
          <w:ilvl w:val="0"/>
          <w:numId w:val="1"/>
        </w:numPr>
        <w:spacing w:after="120"/>
      </w:pPr>
      <w:r w:rsidRPr="001B634D">
        <w:t xml:space="preserve">Explain how management and other stakeholders use key sections of the balance sheet, income statement and statement of cash flows to make decisions by evaluating business transactions, preparing financial statements and analyzing relevant financial statement information. </w:t>
      </w:r>
    </w:p>
    <w:p w:rsidR="001B4A88" w:rsidRDefault="00366FEE" w:rsidP="00EB6E77">
      <w:pPr>
        <w:numPr>
          <w:ilvl w:val="0"/>
          <w:numId w:val="1"/>
        </w:numPr>
        <w:spacing w:after="120"/>
      </w:pPr>
      <w:r w:rsidRPr="001B634D">
        <w:t xml:space="preserve">Analyze the cost, volume and profit relationships of an organization by calculating the contribution margin, breakeven point and target profits given a variety of business scenarios. </w:t>
      </w:r>
    </w:p>
    <w:p w:rsidR="00366FEE" w:rsidRPr="001B634D" w:rsidRDefault="00366FEE" w:rsidP="00EB6E77">
      <w:pPr>
        <w:numPr>
          <w:ilvl w:val="0"/>
          <w:numId w:val="1"/>
        </w:numPr>
        <w:spacing w:after="120"/>
      </w:pPr>
      <w:r w:rsidRPr="001B634D">
        <w:t xml:space="preserve">Analyze the cash impact of business transactions by creating a statement of cash flows from a series of transactions and account balance changes. </w:t>
      </w:r>
    </w:p>
    <w:p w:rsidR="00366FEE" w:rsidRPr="001B634D" w:rsidRDefault="00366FEE" w:rsidP="00366FEE">
      <w:pPr>
        <w:pStyle w:val="ListParagraph"/>
        <w:numPr>
          <w:ilvl w:val="0"/>
          <w:numId w:val="1"/>
        </w:numPr>
        <w:spacing w:after="120"/>
        <w:contextualSpacing w:val="0"/>
        <w:rPr>
          <w:i/>
        </w:rPr>
      </w:pPr>
      <w:r w:rsidRPr="001B634D">
        <w:t xml:space="preserve">Analyze and identify cost information that is relevant for decision makers by recognizing and applying the relevant elements in a variety of decision making scenarios likely to face professional managers. </w:t>
      </w:r>
    </w:p>
    <w:p w:rsidR="00366FEE" w:rsidRDefault="00366FEE" w:rsidP="00366FEE">
      <w:pPr>
        <w:pStyle w:val="ListParagraph"/>
        <w:numPr>
          <w:ilvl w:val="0"/>
          <w:numId w:val="1"/>
        </w:numPr>
        <w:spacing w:after="120"/>
        <w:contextualSpacing w:val="0"/>
      </w:pPr>
      <w:r w:rsidRPr="001B634D">
        <w:t xml:space="preserve">Describe and demonstrate appropriate control and performance evaluation metrics in a multi-product, hierarchical organization by analyzing overall and segment performance using rate-of-return, residual income, and non-financial measures. </w:t>
      </w:r>
    </w:p>
    <w:p w:rsidR="001B4A88" w:rsidRPr="001B634D" w:rsidRDefault="001B4A88" w:rsidP="003D6573">
      <w:pPr>
        <w:pStyle w:val="ListParagraph"/>
        <w:spacing w:after="120"/>
        <w:contextualSpacing w:val="0"/>
      </w:pPr>
    </w:p>
    <w:p w:rsidR="0029710F" w:rsidRPr="001B634D" w:rsidRDefault="002E1D19" w:rsidP="003E420A">
      <w:r w:rsidRPr="001B634D">
        <w:rPr>
          <w:b/>
          <w:u w:val="single"/>
        </w:rPr>
        <w:t>Required Materials</w:t>
      </w:r>
      <w:r w:rsidR="00891C77" w:rsidRPr="001B634D">
        <w:t xml:space="preserve"> </w:t>
      </w:r>
    </w:p>
    <w:p w:rsidR="006C7E78" w:rsidRPr="001B634D" w:rsidRDefault="006C7E78" w:rsidP="006C7E78">
      <w:pPr>
        <w:ind w:firstLine="360"/>
      </w:pPr>
    </w:p>
    <w:p w:rsidR="00B209FC" w:rsidRDefault="00363491" w:rsidP="006C7E78">
      <w:pPr>
        <w:ind w:firstLine="360"/>
        <w:rPr>
          <w:i/>
        </w:rPr>
      </w:pPr>
      <w:r w:rsidRPr="001B634D">
        <w:t>Kimmel</w:t>
      </w:r>
      <w:r w:rsidR="00211100" w:rsidRPr="001B634D">
        <w:t xml:space="preserve">, </w:t>
      </w:r>
      <w:r w:rsidRPr="001B634D">
        <w:t>P</w:t>
      </w:r>
      <w:r w:rsidR="00207DB5" w:rsidRPr="001B634D">
        <w:t>.</w:t>
      </w:r>
      <w:r w:rsidRPr="001B634D">
        <w:t>D</w:t>
      </w:r>
      <w:r w:rsidR="00207DB5" w:rsidRPr="001B634D">
        <w:t xml:space="preserve">., </w:t>
      </w:r>
      <w:r w:rsidRPr="001B634D">
        <w:t>Weygandt, J.J., Kieso, D</w:t>
      </w:r>
      <w:r w:rsidR="00207DB5" w:rsidRPr="001B634D">
        <w:t>.</w:t>
      </w:r>
      <w:r w:rsidRPr="001B634D">
        <w:t>E</w:t>
      </w:r>
      <w:r w:rsidR="00757150" w:rsidRPr="001B634D">
        <w:t xml:space="preserve">. </w:t>
      </w:r>
      <w:r w:rsidR="00C675CC" w:rsidRPr="001B634D">
        <w:t>(2013</w:t>
      </w:r>
      <w:r w:rsidR="00207DB5" w:rsidRPr="001B634D">
        <w:t xml:space="preserve">). </w:t>
      </w:r>
      <w:r w:rsidRPr="001B634D">
        <w:rPr>
          <w:i/>
        </w:rPr>
        <w:t>Accounting: Tools for Business Decision Making,</w:t>
      </w:r>
    </w:p>
    <w:p w:rsidR="00B209FC" w:rsidRDefault="00363491" w:rsidP="00B209FC">
      <w:pPr>
        <w:ind w:firstLine="720"/>
      </w:pPr>
      <w:r w:rsidRPr="001B634D">
        <w:rPr>
          <w:i/>
        </w:rPr>
        <w:t xml:space="preserve"> 5</w:t>
      </w:r>
      <w:r w:rsidR="00211100" w:rsidRPr="001B634D">
        <w:rPr>
          <w:i/>
        </w:rPr>
        <w:t>th Ed</w:t>
      </w:r>
      <w:r w:rsidR="00211100" w:rsidRPr="001B634D">
        <w:t>.</w:t>
      </w:r>
      <w:r w:rsidR="00207DB5" w:rsidRPr="001B634D">
        <w:t xml:space="preserve"> </w:t>
      </w:r>
      <w:r w:rsidR="00757150" w:rsidRPr="001B634D">
        <w:t>(</w:t>
      </w:r>
      <w:r w:rsidR="00207DB5" w:rsidRPr="001B634D">
        <w:t xml:space="preserve">New </w:t>
      </w:r>
      <w:r w:rsidR="00C675CC" w:rsidRPr="001B634D">
        <w:t>Jersey</w:t>
      </w:r>
      <w:r w:rsidR="00207DB5" w:rsidRPr="001B634D">
        <w:t xml:space="preserve">: </w:t>
      </w:r>
      <w:r w:rsidR="00C675CC" w:rsidRPr="001B634D">
        <w:t xml:space="preserve">John </w:t>
      </w:r>
      <w:r w:rsidRPr="001B634D">
        <w:t>Wiley</w:t>
      </w:r>
      <w:r w:rsidR="000D701A" w:rsidRPr="001B634D">
        <w:t>) [</w:t>
      </w:r>
      <w:r w:rsidR="00757150" w:rsidRPr="001B634D">
        <w:t xml:space="preserve">ISBN:  </w:t>
      </w:r>
      <w:r w:rsidRPr="001B634D">
        <w:t>978-1-118-34276-3</w:t>
      </w:r>
      <w:r w:rsidR="00002246" w:rsidRPr="001B634D">
        <w:t>]</w:t>
      </w:r>
      <w:r w:rsidR="006C7E78" w:rsidRPr="001B634D">
        <w:t>.</w:t>
      </w:r>
      <w:r w:rsidR="00E35ED7" w:rsidRPr="001B634D">
        <w:t xml:space="preserve">  </w:t>
      </w:r>
    </w:p>
    <w:p w:rsidR="00B209FC" w:rsidRDefault="00B209FC" w:rsidP="00B209FC">
      <w:pPr>
        <w:ind w:firstLine="720"/>
      </w:pPr>
    </w:p>
    <w:p w:rsidR="001B634D" w:rsidRDefault="001B4A88" w:rsidP="00B209FC">
      <w:pPr>
        <w:rPr>
          <w:i/>
        </w:rPr>
      </w:pPr>
      <w:r>
        <w:t xml:space="preserve">Charles H. Meyer (2013) </w:t>
      </w:r>
      <w:r w:rsidRPr="001B4A88">
        <w:rPr>
          <w:i/>
        </w:rPr>
        <w:t>Accounting and Finance for Lawyers</w:t>
      </w:r>
    </w:p>
    <w:p w:rsidR="001B4A88" w:rsidRPr="00175B07" w:rsidRDefault="001B4A88" w:rsidP="00B209FC">
      <w:r>
        <w:rPr>
          <w:i/>
        </w:rPr>
        <w:tab/>
      </w:r>
      <w:r w:rsidRPr="003D6573">
        <w:t>5</w:t>
      </w:r>
      <w:r w:rsidRPr="003D6573">
        <w:rPr>
          <w:vertAlign w:val="superscript"/>
        </w:rPr>
        <w:t>th</w:t>
      </w:r>
      <w:r w:rsidR="00175B07" w:rsidRPr="003D6573">
        <w:t xml:space="preserve"> Ed. (WEST)  [ISBN.  978—314-28564-5]</w:t>
      </w:r>
    </w:p>
    <w:p w:rsidR="00B209FC" w:rsidRDefault="001B634D" w:rsidP="00E35ED7">
      <w:pPr>
        <w:ind w:firstLine="360"/>
      </w:pPr>
      <w:r w:rsidRPr="001B634D">
        <w:t xml:space="preserve">      </w:t>
      </w:r>
    </w:p>
    <w:p w:rsidR="00891C77" w:rsidRPr="001B634D" w:rsidRDefault="00410910" w:rsidP="00E35ED7">
      <w:pPr>
        <w:ind w:firstLine="360"/>
        <w:rPr>
          <w:b/>
          <w:u w:val="single"/>
        </w:rPr>
      </w:pPr>
      <w:r w:rsidRPr="001B634D">
        <w:t>Bring the assigned</w:t>
      </w:r>
      <w:r w:rsidR="00757150" w:rsidRPr="001B634D">
        <w:t xml:space="preserve"> chapter</w:t>
      </w:r>
      <w:r w:rsidRPr="001B634D">
        <w:t xml:space="preserve"> to each class session.</w:t>
      </w:r>
    </w:p>
    <w:p w:rsidR="00E468FA" w:rsidRPr="001B634D" w:rsidRDefault="00E468FA" w:rsidP="009A6743">
      <w:pPr>
        <w:outlineLvl w:val="0"/>
        <w:rPr>
          <w:b/>
          <w:u w:val="single"/>
        </w:rPr>
      </w:pPr>
    </w:p>
    <w:p w:rsidR="009A6743" w:rsidRPr="001B634D" w:rsidRDefault="009A6743" w:rsidP="009A6743">
      <w:pPr>
        <w:outlineLvl w:val="0"/>
        <w:rPr>
          <w:b/>
          <w:u w:val="single"/>
        </w:rPr>
      </w:pPr>
      <w:r w:rsidRPr="001B634D">
        <w:rPr>
          <w:b/>
          <w:u w:val="single"/>
        </w:rPr>
        <w:t>Prerequisites and</w:t>
      </w:r>
      <w:r w:rsidR="002F6A5E" w:rsidRPr="001B634D">
        <w:rPr>
          <w:b/>
          <w:u w:val="single"/>
        </w:rPr>
        <w:t xml:space="preserve"> </w:t>
      </w:r>
      <w:r w:rsidRPr="001B634D">
        <w:rPr>
          <w:b/>
          <w:u w:val="single"/>
        </w:rPr>
        <w:t>Recommended Preparation</w:t>
      </w:r>
      <w:r w:rsidR="009E246F" w:rsidRPr="001B634D">
        <w:rPr>
          <w:b/>
          <w:u w:val="single"/>
        </w:rPr>
        <w:t xml:space="preserve"> </w:t>
      </w:r>
    </w:p>
    <w:p w:rsidR="00410910" w:rsidRPr="001B634D" w:rsidRDefault="00410910" w:rsidP="009A6743">
      <w:pPr>
        <w:outlineLvl w:val="0"/>
      </w:pPr>
    </w:p>
    <w:p w:rsidR="002F6A5E" w:rsidRPr="001B634D" w:rsidRDefault="007F1ADA" w:rsidP="00B04B7A">
      <w:pPr>
        <w:ind w:firstLine="720"/>
        <w:jc w:val="both"/>
      </w:pPr>
      <w:r w:rsidRPr="001B634D">
        <w:t>T</w:t>
      </w:r>
      <w:r w:rsidR="002F6A5E" w:rsidRPr="001B634D">
        <w:t>here are no formal prerequisites for this course</w:t>
      </w:r>
      <w:r w:rsidRPr="001B634D">
        <w:t xml:space="preserve">.  Students </w:t>
      </w:r>
      <w:r w:rsidR="00002246" w:rsidRPr="001B634D">
        <w:t xml:space="preserve">are expected to </w:t>
      </w:r>
      <w:r w:rsidR="00E35ED7" w:rsidRPr="001B634D">
        <w:t xml:space="preserve">be familiar with the </w:t>
      </w:r>
      <w:r w:rsidR="00413FEE" w:rsidRPr="001B634D">
        <w:t>U.S.</w:t>
      </w:r>
      <w:r w:rsidR="0091609F" w:rsidRPr="001B634D">
        <w:t xml:space="preserve">, </w:t>
      </w:r>
      <w:r w:rsidR="00CA1F76" w:rsidRPr="001B634D">
        <w:t xml:space="preserve">and </w:t>
      </w:r>
      <w:r w:rsidR="0091609F" w:rsidRPr="001B634D">
        <w:t xml:space="preserve">with </w:t>
      </w:r>
      <w:r w:rsidR="00CA1F76" w:rsidRPr="001B634D">
        <w:t>American English.  Students are required to</w:t>
      </w:r>
      <w:r w:rsidRPr="001B634D">
        <w:t xml:space="preserve"> </w:t>
      </w:r>
      <w:r w:rsidR="002F6A5E" w:rsidRPr="001B634D">
        <w:t>regularly r</w:t>
      </w:r>
      <w:r w:rsidR="00CA1F76" w:rsidRPr="001B634D">
        <w:t xml:space="preserve">ead about current business developments (e.g., via a </w:t>
      </w:r>
      <w:r w:rsidR="002F6A5E" w:rsidRPr="001B634D">
        <w:t xml:space="preserve">general business periodical </w:t>
      </w:r>
      <w:r w:rsidRPr="001B634D">
        <w:t xml:space="preserve">like the </w:t>
      </w:r>
      <w:r w:rsidRPr="001B634D">
        <w:rPr>
          <w:i/>
        </w:rPr>
        <w:t>Wall Street Journal</w:t>
      </w:r>
      <w:r w:rsidR="00413FEE" w:rsidRPr="001B634D">
        <w:t xml:space="preserve">).  </w:t>
      </w:r>
      <w:r w:rsidRPr="001B634D">
        <w:t xml:space="preserve">  </w:t>
      </w:r>
      <w:r w:rsidR="002F6A5E" w:rsidRPr="001B634D">
        <w:t xml:space="preserve"> </w:t>
      </w:r>
    </w:p>
    <w:p w:rsidR="002F6A5E" w:rsidRDefault="002F6A5E" w:rsidP="007E5F11">
      <w:pPr>
        <w:jc w:val="both"/>
      </w:pPr>
    </w:p>
    <w:p w:rsidR="004645DE" w:rsidRDefault="004645DE" w:rsidP="007E5F11">
      <w:pPr>
        <w:jc w:val="both"/>
      </w:pPr>
    </w:p>
    <w:p w:rsidR="004645DE" w:rsidRDefault="004645DE" w:rsidP="007E5F11">
      <w:pPr>
        <w:jc w:val="both"/>
      </w:pPr>
    </w:p>
    <w:p w:rsidR="004645DE" w:rsidRDefault="004645DE" w:rsidP="007E5F11">
      <w:pPr>
        <w:jc w:val="both"/>
      </w:pPr>
    </w:p>
    <w:p w:rsidR="004645DE" w:rsidRPr="001B634D" w:rsidRDefault="004645DE" w:rsidP="007E5F11">
      <w:pPr>
        <w:jc w:val="both"/>
      </w:pPr>
    </w:p>
    <w:p w:rsidR="002E1D19" w:rsidRPr="001B634D" w:rsidRDefault="002E1D19" w:rsidP="002E1D19">
      <w:r w:rsidRPr="001B634D">
        <w:rPr>
          <w:b/>
          <w:u w:val="single"/>
        </w:rPr>
        <w:t>Course Notes</w:t>
      </w:r>
      <w:r w:rsidR="00DA782E" w:rsidRPr="001B634D">
        <w:rPr>
          <w:b/>
          <w:u w:val="single"/>
        </w:rPr>
        <w:t>/Materials</w:t>
      </w:r>
      <w:r w:rsidR="009E246F" w:rsidRPr="001B634D">
        <w:rPr>
          <w:b/>
          <w:u w:val="single"/>
        </w:rPr>
        <w:t xml:space="preserve"> </w:t>
      </w:r>
    </w:p>
    <w:p w:rsidR="00B04B7A" w:rsidRPr="001B634D" w:rsidRDefault="00B04B7A" w:rsidP="007E5F11">
      <w:pPr>
        <w:jc w:val="both"/>
      </w:pPr>
    </w:p>
    <w:p w:rsidR="00136E7E" w:rsidRPr="001B634D" w:rsidRDefault="00DA782E" w:rsidP="00DA782E">
      <w:pPr>
        <w:pStyle w:val="CommentText"/>
        <w:ind w:firstLine="720"/>
        <w:jc w:val="both"/>
      </w:pPr>
      <w:r w:rsidRPr="001B634D">
        <w:t xml:space="preserve">USC's Blackboard learning management system and support information is available at </w:t>
      </w:r>
      <w:hyperlink r:id="rId9" w:history="1">
        <w:r w:rsidRPr="001B634D">
          <w:rPr>
            <w:color w:val="0000FF"/>
          </w:rPr>
          <w:t>blackboard.usc.edu</w:t>
        </w:r>
      </w:hyperlink>
      <w:r w:rsidRPr="001B634D">
        <w:t xml:space="preserve">.  </w:t>
      </w:r>
      <w:r w:rsidR="00136E7E" w:rsidRPr="001B634D">
        <w:t>Distri</w:t>
      </w:r>
      <w:r w:rsidR="00CA1F76" w:rsidRPr="001B634D">
        <w:t xml:space="preserve">buted materials and other </w:t>
      </w:r>
      <w:r w:rsidR="00136E7E" w:rsidRPr="001B634D">
        <w:t xml:space="preserve">information </w:t>
      </w:r>
      <w:r w:rsidR="00002246" w:rsidRPr="001B634D">
        <w:t xml:space="preserve">will be </w:t>
      </w:r>
      <w:r w:rsidR="00136E7E" w:rsidRPr="001B634D">
        <w:t xml:space="preserve">available </w:t>
      </w:r>
      <w:r w:rsidR="00002246" w:rsidRPr="001B634D">
        <w:t xml:space="preserve">on the class’ </w:t>
      </w:r>
      <w:r w:rsidR="00136E7E" w:rsidRPr="001B634D">
        <w:t>Blackboard</w:t>
      </w:r>
      <w:r w:rsidR="00002246" w:rsidRPr="001B634D">
        <w:t xml:space="preserve"> site</w:t>
      </w:r>
      <w:r w:rsidR="00136E7E" w:rsidRPr="001B634D">
        <w:t xml:space="preserve">.  </w:t>
      </w:r>
    </w:p>
    <w:p w:rsidR="00E468FA" w:rsidRPr="001B634D" w:rsidRDefault="00E468FA" w:rsidP="002E1D19"/>
    <w:p w:rsidR="002E1D19" w:rsidRPr="001B634D" w:rsidRDefault="002E1D19" w:rsidP="00514EF4">
      <w:pPr>
        <w:outlineLvl w:val="0"/>
        <w:rPr>
          <w:b/>
          <w:u w:val="single"/>
        </w:rPr>
      </w:pPr>
      <w:r w:rsidRPr="001B634D">
        <w:rPr>
          <w:b/>
          <w:u w:val="single"/>
        </w:rPr>
        <w:t>Grading</w:t>
      </w:r>
      <w:r w:rsidR="00671106" w:rsidRPr="001B634D">
        <w:rPr>
          <w:b/>
          <w:u w:val="single"/>
        </w:rPr>
        <w:t xml:space="preserve"> Policies</w:t>
      </w:r>
      <w:r w:rsidR="009E246F" w:rsidRPr="001B634D">
        <w:rPr>
          <w:b/>
          <w:u w:val="single"/>
        </w:rPr>
        <w:t xml:space="preserve"> </w:t>
      </w:r>
    </w:p>
    <w:p w:rsidR="00410910" w:rsidRPr="001B634D" w:rsidRDefault="00410910" w:rsidP="00514EF4">
      <w:pPr>
        <w:outlineLvl w:val="0"/>
        <w:rPr>
          <w:b/>
          <w:u w:val="single"/>
        </w:rPr>
      </w:pPr>
    </w:p>
    <w:p w:rsidR="003F0542" w:rsidRDefault="00CA1F76" w:rsidP="00CC26A4">
      <w:pPr>
        <w:ind w:firstLine="720"/>
        <w:jc w:val="both"/>
        <w:outlineLvl w:val="0"/>
      </w:pPr>
      <w:r w:rsidRPr="001B634D">
        <w:t>Each student’s course g</w:t>
      </w:r>
      <w:r w:rsidR="00607160" w:rsidRPr="001B634D">
        <w:t>rade</w:t>
      </w:r>
      <w:r w:rsidR="00245AAF" w:rsidRPr="001B634D">
        <w:t xml:space="preserve"> will be determined by </w:t>
      </w:r>
      <w:r w:rsidRPr="001B634D">
        <w:t xml:space="preserve">the student’s </w:t>
      </w:r>
      <w:r w:rsidR="00245AAF" w:rsidRPr="001B634D">
        <w:t xml:space="preserve">relative performance on </w:t>
      </w:r>
      <w:r w:rsidR="00455A84">
        <w:t>quizzes</w:t>
      </w:r>
      <w:r w:rsidR="000B2701">
        <w:t xml:space="preserve">, </w:t>
      </w:r>
      <w:r w:rsidR="00455A84">
        <w:t>midterm</w:t>
      </w:r>
      <w:r w:rsidR="000B2701">
        <w:t>s, and a f</w:t>
      </w:r>
      <w:r w:rsidR="00455A84">
        <w:t>inal exam</w:t>
      </w:r>
      <w:r w:rsidR="00AA72C2">
        <w:t>.</w:t>
      </w:r>
      <w:r w:rsidR="00556CAA" w:rsidRPr="001B634D">
        <w:t xml:space="preserve"> </w:t>
      </w:r>
      <w:r w:rsidR="00245AAF" w:rsidRPr="001B634D">
        <w:t xml:space="preserve">  </w:t>
      </w:r>
      <w:r w:rsidR="000B2701">
        <w:t>All of the</w:t>
      </w:r>
      <w:r w:rsidR="00E65F01">
        <w:t xml:space="preserve">se </w:t>
      </w:r>
      <w:r w:rsidR="003F0542" w:rsidRPr="001B634D">
        <w:t xml:space="preserve">will be closed-book and closed notes.  </w:t>
      </w:r>
      <w:r w:rsidR="00E65F01">
        <w:t>The format will be multiple choice q</w:t>
      </w:r>
      <w:r w:rsidR="00E65F01" w:rsidRPr="001B634D">
        <w:t xml:space="preserve">uestions </w:t>
      </w:r>
      <w:r w:rsidR="00070338">
        <w:t>and/</w:t>
      </w:r>
      <w:r w:rsidR="00E65F01">
        <w:t xml:space="preserve">or </w:t>
      </w:r>
      <w:r w:rsidR="00E65F01" w:rsidRPr="001B634D">
        <w:t>problems</w:t>
      </w:r>
      <w:r w:rsidR="00E65F01">
        <w:t xml:space="preserve">.  </w:t>
      </w:r>
      <w:r w:rsidR="006A6E7B" w:rsidRPr="001B634D">
        <w:t xml:space="preserve">The dates </w:t>
      </w:r>
      <w:r w:rsidR="004A51DA" w:rsidRPr="001B634D">
        <w:t xml:space="preserve">and topics covered </w:t>
      </w:r>
      <w:r w:rsidR="006A6E7B" w:rsidRPr="001B634D">
        <w:t xml:space="preserve">are indicated below.  </w:t>
      </w:r>
      <w:r w:rsidR="003F0542" w:rsidRPr="001B634D">
        <w:t xml:space="preserve">Questions and problems will be drawn fairly evenly from the chapters covered. </w:t>
      </w:r>
    </w:p>
    <w:p w:rsidR="003F0542" w:rsidRDefault="003F0542" w:rsidP="00CC26A4">
      <w:pPr>
        <w:ind w:firstLine="720"/>
        <w:jc w:val="both"/>
        <w:outlineLvl w:val="0"/>
      </w:pPr>
    </w:p>
    <w:p w:rsidR="007604BE" w:rsidRPr="001B634D" w:rsidRDefault="00CC26A4" w:rsidP="00CC26A4">
      <w:pPr>
        <w:ind w:firstLine="720"/>
        <w:jc w:val="both"/>
        <w:outlineLvl w:val="0"/>
      </w:pPr>
      <w:r w:rsidRPr="001B634D">
        <w:t>During the semester, exam</w:t>
      </w:r>
      <w:r w:rsidR="00EE5BDB" w:rsidRPr="001B634D">
        <w:t xml:space="preserve">s </w:t>
      </w:r>
      <w:r w:rsidRPr="001B634D">
        <w:t xml:space="preserve">will be returned in class no more than one week after being given. </w:t>
      </w:r>
      <w:r w:rsidR="00D12CD5" w:rsidRPr="001B634D">
        <w:t xml:space="preserve"> Those wishing to contest a score must do so in writing within two weeks after the</w:t>
      </w:r>
      <w:r w:rsidRPr="001B634D">
        <w:t xml:space="preserve"> </w:t>
      </w:r>
      <w:r w:rsidR="00AA72C2">
        <w:t xml:space="preserve">exam </w:t>
      </w:r>
      <w:r w:rsidR="00D12CD5" w:rsidRPr="001B634D">
        <w:t>date</w:t>
      </w:r>
      <w:r w:rsidR="00EE5BDB" w:rsidRPr="001B634D">
        <w:t xml:space="preserve">. </w:t>
      </w:r>
      <w:r w:rsidR="00D12CD5" w:rsidRPr="001B634D">
        <w:t xml:space="preserve"> </w:t>
      </w:r>
    </w:p>
    <w:p w:rsidR="007604BE" w:rsidRPr="001B634D" w:rsidRDefault="007604BE" w:rsidP="00CC26A4">
      <w:pPr>
        <w:ind w:firstLine="720"/>
        <w:jc w:val="both"/>
        <w:outlineLvl w:val="0"/>
      </w:pPr>
    </w:p>
    <w:p w:rsidR="00822D65" w:rsidRDefault="00B209FC" w:rsidP="00CC26A4">
      <w:pPr>
        <w:ind w:firstLine="720"/>
        <w:jc w:val="both"/>
        <w:outlineLvl w:val="0"/>
      </w:pPr>
      <w:r w:rsidRPr="003912B4">
        <w:rPr>
          <w:b/>
        </w:rPr>
        <w:t xml:space="preserve">Students </w:t>
      </w:r>
      <w:r w:rsidR="003912B4" w:rsidRPr="003912B4">
        <w:rPr>
          <w:b/>
        </w:rPr>
        <w:t>need to bring #2 pencils and erasers to each exam</w:t>
      </w:r>
      <w:r w:rsidR="003912B4">
        <w:t xml:space="preserve">.  Students need not </w:t>
      </w:r>
      <w:r w:rsidR="003912B4" w:rsidRPr="001B634D">
        <w:t xml:space="preserve">bring </w:t>
      </w:r>
      <w:r w:rsidR="003912B4">
        <w:t>blue books or Scantron forms.</w:t>
      </w:r>
      <w:r>
        <w:t xml:space="preserve">  </w:t>
      </w:r>
      <w:r w:rsidR="00070338">
        <w:t>A</w:t>
      </w:r>
      <w:r w:rsidR="003912B4">
        <w:t>n</w:t>
      </w:r>
      <w:r>
        <w:t xml:space="preserve">swers to </w:t>
      </w:r>
      <w:r w:rsidR="00070338">
        <w:t xml:space="preserve">problems </w:t>
      </w:r>
      <w:r w:rsidR="003912B4">
        <w:t xml:space="preserve">are to be </w:t>
      </w:r>
      <w:r w:rsidR="007604BE" w:rsidRPr="001B634D">
        <w:t>writ</w:t>
      </w:r>
      <w:r w:rsidR="003912B4">
        <w:t xml:space="preserve">ten </w:t>
      </w:r>
      <w:r w:rsidR="007604BE" w:rsidRPr="001B634D">
        <w:t xml:space="preserve">on </w:t>
      </w:r>
      <w:r w:rsidR="003F0542">
        <w:t>the</w:t>
      </w:r>
      <w:r w:rsidR="003912B4">
        <w:t xml:space="preserve"> </w:t>
      </w:r>
      <w:r w:rsidR="007604BE" w:rsidRPr="001B634D">
        <w:t>exam</w:t>
      </w:r>
      <w:r w:rsidR="003912B4">
        <w:t>s</w:t>
      </w:r>
      <w:r w:rsidR="007604BE" w:rsidRPr="001B634D">
        <w:t xml:space="preserve"> </w:t>
      </w:r>
      <w:r w:rsidR="003912B4">
        <w:t>themselves</w:t>
      </w:r>
      <w:r w:rsidR="007604BE" w:rsidRPr="001B634D">
        <w:t xml:space="preserve">.  </w:t>
      </w:r>
      <w:r w:rsidR="003F0542">
        <w:t>This can be done in pencil.</w:t>
      </w:r>
    </w:p>
    <w:p w:rsidR="00FF391F" w:rsidRDefault="00FF391F" w:rsidP="00822D65">
      <w:pPr>
        <w:ind w:firstLine="720"/>
        <w:jc w:val="both"/>
        <w:outlineLvl w:val="0"/>
      </w:pPr>
    </w:p>
    <w:p w:rsidR="00FF391F" w:rsidRDefault="00FF391F" w:rsidP="00822D65">
      <w:pPr>
        <w:ind w:firstLine="720"/>
        <w:jc w:val="both"/>
        <w:outlineLvl w:val="0"/>
      </w:pPr>
    </w:p>
    <w:p w:rsidR="00622423" w:rsidRDefault="00245AAF" w:rsidP="00822D65">
      <w:pPr>
        <w:ind w:firstLine="720"/>
        <w:jc w:val="both"/>
        <w:outlineLvl w:val="0"/>
      </w:pPr>
      <w:r w:rsidRPr="001B634D">
        <w:t xml:space="preserve">The total </w:t>
      </w:r>
      <w:r w:rsidR="00696F7A" w:rsidRPr="001B634D">
        <w:t>possible points will be:</w:t>
      </w:r>
    </w:p>
    <w:p w:rsidR="00B75CBF" w:rsidRPr="001B634D" w:rsidRDefault="00B75CBF" w:rsidP="00822D65">
      <w:pPr>
        <w:ind w:firstLine="720"/>
        <w:jc w:val="both"/>
        <w:outlineLvl w:val="0"/>
      </w:pPr>
    </w:p>
    <w:p w:rsidR="000449EE" w:rsidRPr="001B634D" w:rsidRDefault="00B75CBF" w:rsidP="00BA607C">
      <w:pPr>
        <w:tabs>
          <w:tab w:val="left" w:pos="4349"/>
          <w:tab w:val="left" w:pos="5311"/>
          <w:tab w:val="left" w:pos="6305"/>
          <w:tab w:val="left" w:pos="8487"/>
        </w:tabs>
        <w:ind w:left="1285"/>
        <w:outlineLvl w:val="0"/>
      </w:pPr>
      <w:r>
        <w:t>Class Participation</w:t>
      </w:r>
      <w:r>
        <w:tab/>
      </w:r>
      <w:r w:rsidR="00A97377">
        <w:t>10</w:t>
      </w:r>
    </w:p>
    <w:p w:rsidR="00455A84" w:rsidRDefault="00455A84" w:rsidP="00455A84">
      <w:pPr>
        <w:tabs>
          <w:tab w:val="left" w:pos="4349"/>
          <w:tab w:val="left" w:pos="5203"/>
          <w:tab w:val="left" w:pos="6190"/>
          <w:tab w:val="left" w:pos="8487"/>
        </w:tabs>
        <w:ind w:left="1285"/>
        <w:outlineLvl w:val="0"/>
        <w:rPr>
          <w:sz w:val="22"/>
          <w:szCs w:val="22"/>
        </w:rPr>
      </w:pPr>
      <w:r w:rsidRPr="0082540D">
        <w:rPr>
          <w:sz w:val="22"/>
          <w:szCs w:val="22"/>
        </w:rPr>
        <w:t xml:space="preserve">Exam I </w:t>
      </w:r>
      <w:r w:rsidR="000A71CE">
        <w:rPr>
          <w:sz w:val="22"/>
          <w:szCs w:val="22"/>
        </w:rPr>
        <w:t>Midterm</w:t>
      </w:r>
      <w:r>
        <w:rPr>
          <w:sz w:val="22"/>
          <w:szCs w:val="22"/>
        </w:rPr>
        <w:t xml:space="preserve">        </w:t>
      </w:r>
      <w:r w:rsidRPr="0082540D">
        <w:rPr>
          <w:sz w:val="22"/>
          <w:szCs w:val="22"/>
        </w:rPr>
        <w:tab/>
      </w:r>
      <w:r w:rsidR="00A97377">
        <w:rPr>
          <w:sz w:val="22"/>
          <w:szCs w:val="22"/>
        </w:rPr>
        <w:t>2</w:t>
      </w:r>
      <w:r w:rsidR="00A97377" w:rsidRPr="0082540D">
        <w:rPr>
          <w:sz w:val="22"/>
          <w:szCs w:val="22"/>
        </w:rPr>
        <w:t>0</w:t>
      </w:r>
    </w:p>
    <w:p w:rsidR="000A71CE" w:rsidRPr="0082540D" w:rsidRDefault="000A71CE" w:rsidP="00455A84">
      <w:pPr>
        <w:tabs>
          <w:tab w:val="left" w:pos="4349"/>
          <w:tab w:val="left" w:pos="5203"/>
          <w:tab w:val="left" w:pos="6190"/>
          <w:tab w:val="left" w:pos="8487"/>
        </w:tabs>
        <w:ind w:left="1285"/>
        <w:outlineLvl w:val="0"/>
        <w:rPr>
          <w:sz w:val="22"/>
          <w:szCs w:val="22"/>
        </w:rPr>
      </w:pPr>
      <w:r>
        <w:rPr>
          <w:sz w:val="22"/>
          <w:szCs w:val="22"/>
        </w:rPr>
        <w:t>Class Project</w:t>
      </w:r>
      <w:r>
        <w:rPr>
          <w:sz w:val="22"/>
          <w:szCs w:val="22"/>
        </w:rPr>
        <w:tab/>
        <w:t>10</w:t>
      </w:r>
    </w:p>
    <w:p w:rsidR="00455A84" w:rsidRDefault="00455A84" w:rsidP="00455A84">
      <w:pPr>
        <w:tabs>
          <w:tab w:val="left" w:pos="4349"/>
          <w:tab w:val="left" w:pos="5203"/>
          <w:tab w:val="left" w:pos="6190"/>
          <w:tab w:val="left" w:pos="8487"/>
        </w:tabs>
        <w:ind w:left="1285"/>
        <w:outlineLvl w:val="0"/>
        <w:rPr>
          <w:sz w:val="22"/>
          <w:szCs w:val="22"/>
          <w:u w:val="single"/>
        </w:rPr>
      </w:pPr>
      <w:r w:rsidRPr="0082540D">
        <w:rPr>
          <w:sz w:val="22"/>
          <w:szCs w:val="22"/>
        </w:rPr>
        <w:t xml:space="preserve">Final Exam </w:t>
      </w:r>
      <w:r>
        <w:rPr>
          <w:sz w:val="22"/>
          <w:szCs w:val="22"/>
        </w:rPr>
        <w:t xml:space="preserve">  </w:t>
      </w:r>
      <w:r w:rsidRPr="0082540D">
        <w:rPr>
          <w:sz w:val="22"/>
          <w:szCs w:val="22"/>
        </w:rPr>
        <w:tab/>
      </w:r>
      <w:r w:rsidR="00A97377">
        <w:rPr>
          <w:sz w:val="22"/>
          <w:szCs w:val="22"/>
          <w:u w:val="single"/>
        </w:rPr>
        <w:t>6</w:t>
      </w:r>
      <w:r w:rsidRPr="00B75CBF">
        <w:rPr>
          <w:sz w:val="22"/>
          <w:szCs w:val="22"/>
          <w:u w:val="single"/>
        </w:rPr>
        <w:t>0</w:t>
      </w:r>
    </w:p>
    <w:p w:rsidR="00455A84" w:rsidRPr="0082540D" w:rsidRDefault="00455A84" w:rsidP="00455A84">
      <w:pPr>
        <w:tabs>
          <w:tab w:val="left" w:pos="4349"/>
          <w:tab w:val="left" w:pos="5203"/>
          <w:tab w:val="left" w:pos="6190"/>
          <w:tab w:val="left" w:pos="8487"/>
        </w:tabs>
        <w:ind w:left="1285"/>
        <w:outlineLvl w:val="0"/>
        <w:rPr>
          <w:sz w:val="22"/>
          <w:szCs w:val="22"/>
        </w:rPr>
      </w:pPr>
      <w:r w:rsidRPr="0082540D">
        <w:rPr>
          <w:sz w:val="22"/>
          <w:szCs w:val="22"/>
        </w:rPr>
        <w:tab/>
      </w:r>
    </w:p>
    <w:p w:rsidR="00455A84" w:rsidRDefault="00455A84" w:rsidP="00455A84">
      <w:pPr>
        <w:tabs>
          <w:tab w:val="left" w:pos="-720"/>
        </w:tabs>
        <w:suppressAutoHyphens/>
        <w:jc w:val="both"/>
        <w:rPr>
          <w:sz w:val="22"/>
          <w:szCs w:val="22"/>
          <w:u w:val="double"/>
        </w:rPr>
      </w:pPr>
      <w:r>
        <w:rPr>
          <w:sz w:val="22"/>
          <w:szCs w:val="22"/>
        </w:rPr>
        <w:tab/>
      </w:r>
      <w:r>
        <w:rPr>
          <w:sz w:val="22"/>
          <w:szCs w:val="22"/>
        </w:rPr>
        <w:tab/>
      </w:r>
      <w:r>
        <w:rPr>
          <w:sz w:val="22"/>
          <w:szCs w:val="22"/>
        </w:rPr>
        <w:tab/>
        <w:t xml:space="preserve">Total                           </w:t>
      </w:r>
      <w:r w:rsidR="009C5353">
        <w:rPr>
          <w:sz w:val="22"/>
          <w:szCs w:val="22"/>
        </w:rPr>
        <w:t xml:space="preserve">  </w:t>
      </w:r>
      <w:r>
        <w:rPr>
          <w:sz w:val="22"/>
          <w:szCs w:val="22"/>
        </w:rPr>
        <w:t xml:space="preserve"> </w:t>
      </w:r>
      <w:r w:rsidR="009C5353">
        <w:rPr>
          <w:sz w:val="22"/>
          <w:szCs w:val="22"/>
          <w:u w:val="double"/>
        </w:rPr>
        <w:t>100</w:t>
      </w:r>
    </w:p>
    <w:p w:rsidR="004645DE" w:rsidRPr="003D6573" w:rsidRDefault="004645DE" w:rsidP="003D6573">
      <w:pPr>
        <w:ind w:firstLine="720"/>
        <w:jc w:val="both"/>
        <w:outlineLvl w:val="0"/>
      </w:pPr>
    </w:p>
    <w:p w:rsidR="00622423" w:rsidRDefault="004645DE" w:rsidP="003D6573">
      <w:pPr>
        <w:ind w:firstLine="720"/>
        <w:jc w:val="both"/>
        <w:outlineLvl w:val="0"/>
      </w:pPr>
      <w:r w:rsidRPr="003D6573">
        <w:t>The Law School grading system uses both numerical grades and letter grade equivalents. Numerical grades range from 1.9 to 4.4 with letter-grade equivalents ranging from F to A+. The system differs from a typical letter-grade system (in which A=4.0, A-=3.7, and B+=3.3, etc.) in that faculty can assign intermediate numbers, such as 3.4. For example, although both 3.3 and 3.4 are grades of "B+", the 3.4 carries a slightly higher numerical value, and therefore contributes to a higher GPA. This combination of letters and numbers was selected because the letters can be easily understood by all potential employers, while the intermediate numbers allow more gradations and therefore more nuance than a simple system of letters only.</w:t>
      </w:r>
    </w:p>
    <w:p w:rsidR="004645DE" w:rsidRPr="001B634D" w:rsidRDefault="004645DE" w:rsidP="003D6573">
      <w:pPr>
        <w:ind w:firstLine="720"/>
        <w:jc w:val="both"/>
        <w:outlineLvl w:val="0"/>
      </w:pPr>
    </w:p>
    <w:p w:rsidR="00D102FC" w:rsidRPr="00D102FC" w:rsidRDefault="00D102FC" w:rsidP="00D102FC">
      <w:pPr>
        <w:jc w:val="both"/>
        <w:outlineLvl w:val="0"/>
        <w:rPr>
          <w:rFonts w:ascii="Arial" w:hAnsi="Arial" w:cs="Arial"/>
          <w:b/>
          <w:sz w:val="22"/>
          <w:szCs w:val="22"/>
        </w:rPr>
      </w:pPr>
      <w:r w:rsidRPr="00D102FC">
        <w:rPr>
          <w:rFonts w:ascii="Arial" w:hAnsi="Arial" w:cs="Arial"/>
          <w:b/>
          <w:sz w:val="22"/>
          <w:szCs w:val="22"/>
        </w:rPr>
        <w:t xml:space="preserve">During the semester, </w:t>
      </w:r>
      <w:r w:rsidR="000A71CE">
        <w:rPr>
          <w:rFonts w:ascii="Arial" w:hAnsi="Arial" w:cs="Arial"/>
          <w:b/>
          <w:sz w:val="22"/>
          <w:szCs w:val="22"/>
        </w:rPr>
        <w:t>midterm</w:t>
      </w:r>
      <w:r w:rsidRPr="00D102FC">
        <w:rPr>
          <w:rFonts w:ascii="Arial" w:hAnsi="Arial" w:cs="Arial"/>
          <w:b/>
          <w:sz w:val="22"/>
          <w:szCs w:val="22"/>
        </w:rPr>
        <w:t xml:space="preserve"> exam will be returned no more than </w:t>
      </w:r>
      <w:r w:rsidR="004645DE">
        <w:rPr>
          <w:rFonts w:ascii="Arial" w:hAnsi="Arial" w:cs="Arial"/>
          <w:b/>
          <w:sz w:val="22"/>
          <w:szCs w:val="22"/>
        </w:rPr>
        <w:t>two</w:t>
      </w:r>
      <w:r w:rsidR="004645DE" w:rsidRPr="00D102FC">
        <w:rPr>
          <w:rFonts w:ascii="Arial" w:hAnsi="Arial" w:cs="Arial"/>
          <w:b/>
          <w:sz w:val="22"/>
          <w:szCs w:val="22"/>
        </w:rPr>
        <w:t xml:space="preserve"> </w:t>
      </w:r>
      <w:r w:rsidRPr="00D102FC">
        <w:rPr>
          <w:rFonts w:ascii="Arial" w:hAnsi="Arial" w:cs="Arial"/>
          <w:b/>
          <w:sz w:val="22"/>
          <w:szCs w:val="22"/>
        </w:rPr>
        <w:t>week</w:t>
      </w:r>
      <w:r w:rsidR="004645DE">
        <w:rPr>
          <w:rFonts w:ascii="Arial" w:hAnsi="Arial" w:cs="Arial"/>
          <w:b/>
          <w:sz w:val="22"/>
          <w:szCs w:val="22"/>
        </w:rPr>
        <w:t>s</w:t>
      </w:r>
      <w:r w:rsidRPr="00D102FC">
        <w:rPr>
          <w:rFonts w:ascii="Arial" w:hAnsi="Arial" w:cs="Arial"/>
          <w:b/>
          <w:sz w:val="22"/>
          <w:szCs w:val="22"/>
        </w:rPr>
        <w:t xml:space="preserve"> after it has been given.  After each test is returned there is a one-week reflection period and then you will have one week to discuss your grade.  After this time, grades on tests become final.  All other grades are final once given.</w:t>
      </w:r>
    </w:p>
    <w:p w:rsidR="00FF391F" w:rsidRDefault="00FF391F">
      <w:r>
        <w:br w:type="page"/>
      </w:r>
    </w:p>
    <w:p w:rsidR="00B04B7A" w:rsidRPr="001B634D" w:rsidRDefault="00B04B7A" w:rsidP="00B306A9">
      <w:pPr>
        <w:outlineLvl w:val="0"/>
      </w:pPr>
    </w:p>
    <w:p w:rsidR="00C00770" w:rsidRPr="001B634D" w:rsidRDefault="002127B6" w:rsidP="00B306A9">
      <w:pPr>
        <w:ind w:firstLine="720"/>
        <w:jc w:val="both"/>
        <w:outlineLvl w:val="0"/>
      </w:pPr>
      <w:r w:rsidRPr="001B634D">
        <w:t xml:space="preserve">Preparing for exams </w:t>
      </w:r>
      <w:r w:rsidR="002249BC" w:rsidRPr="001B634D">
        <w:t>involves dedication</w:t>
      </w:r>
      <w:r w:rsidR="00C00770" w:rsidRPr="001B634D">
        <w:t>,</w:t>
      </w:r>
      <w:r w:rsidR="002249BC" w:rsidRPr="001B634D">
        <w:t xml:space="preserve"> </w:t>
      </w:r>
      <w:r w:rsidRPr="001B634D">
        <w:t xml:space="preserve">and </w:t>
      </w:r>
      <w:r w:rsidR="00C00770" w:rsidRPr="001B634D">
        <w:t>should end</w:t>
      </w:r>
      <w:r w:rsidRPr="001B634D">
        <w:t xml:space="preserve"> only when </w:t>
      </w:r>
      <w:r w:rsidR="00C00770" w:rsidRPr="001B634D">
        <w:t xml:space="preserve">a student </w:t>
      </w:r>
      <w:r w:rsidRPr="001B634D">
        <w:t xml:space="preserve">can: 1) identify the relevant issues </w:t>
      </w:r>
      <w:r w:rsidR="000A71CE" w:rsidRPr="001B634D">
        <w:t>in each</w:t>
      </w:r>
      <w:r w:rsidR="002249BC" w:rsidRPr="001B634D">
        <w:t xml:space="preserve"> </w:t>
      </w:r>
      <w:r w:rsidRPr="001B634D">
        <w:t xml:space="preserve">business situation; 2) analyze the data and transform it into information to be used in a comprehensive answer; and 3) explain </w:t>
      </w:r>
      <w:r w:rsidR="002249BC" w:rsidRPr="001B634D">
        <w:t xml:space="preserve">what </w:t>
      </w:r>
      <w:r w:rsidR="00C00770" w:rsidRPr="001B634D">
        <w:t>was done</w:t>
      </w:r>
      <w:r w:rsidRPr="001B634D">
        <w:t xml:space="preserve"> using techniques demonstrated in class.  </w:t>
      </w:r>
    </w:p>
    <w:p w:rsidR="00C00770" w:rsidRPr="001B634D" w:rsidRDefault="00C00770" w:rsidP="00B306A9">
      <w:pPr>
        <w:ind w:firstLine="720"/>
        <w:jc w:val="both"/>
        <w:outlineLvl w:val="0"/>
      </w:pPr>
    </w:p>
    <w:p w:rsidR="002127B6" w:rsidRPr="001B634D" w:rsidRDefault="002127B6" w:rsidP="00B306A9">
      <w:pPr>
        <w:ind w:firstLine="720"/>
        <w:jc w:val="both"/>
        <w:outlineLvl w:val="0"/>
      </w:pPr>
      <w:r w:rsidRPr="001B634D">
        <w:t xml:space="preserve">The best bet for success </w:t>
      </w:r>
      <w:r w:rsidR="006B49D4" w:rsidRPr="001B634D">
        <w:t xml:space="preserve">involves </w:t>
      </w:r>
      <w:r w:rsidR="000A71CE" w:rsidRPr="001B634D">
        <w:t>several</w:t>
      </w:r>
      <w:r w:rsidR="006B49D4" w:rsidRPr="001B634D">
        <w:t xml:space="preserve"> steps.  First, is do</w:t>
      </w:r>
      <w:r w:rsidR="00C00770" w:rsidRPr="001B634D">
        <w:t>ing</w:t>
      </w:r>
      <w:r w:rsidR="006B49D4" w:rsidRPr="001B634D">
        <w:t xml:space="preserve"> the advanced preparation for each class session.  Second is </w:t>
      </w:r>
      <w:r w:rsidRPr="001B634D">
        <w:t>working problems done in class</w:t>
      </w:r>
      <w:r w:rsidR="006A6E7B" w:rsidRPr="001B634D">
        <w:t xml:space="preserve">, </w:t>
      </w:r>
      <w:r w:rsidRPr="001B634D">
        <w:t>and trying other</w:t>
      </w:r>
      <w:r w:rsidR="006B49D4" w:rsidRPr="001B634D">
        <w:t xml:space="preserve"> </w:t>
      </w:r>
      <w:r w:rsidRPr="001B634D">
        <w:t xml:space="preserve">problems.  </w:t>
      </w:r>
      <w:r w:rsidR="006B49D4" w:rsidRPr="001B634D">
        <w:t>Third is ask</w:t>
      </w:r>
      <w:r w:rsidR="006A6E7B" w:rsidRPr="001B634D">
        <w:t>ing</w:t>
      </w:r>
      <w:r w:rsidR="006B49D4" w:rsidRPr="001B634D">
        <w:t xml:space="preserve"> questions in a re</w:t>
      </w:r>
      <w:r w:rsidR="006A6E7B" w:rsidRPr="001B634D">
        <w:t xml:space="preserve">al-time manner to solidify </w:t>
      </w:r>
      <w:r w:rsidR="006B49D4" w:rsidRPr="001B634D">
        <w:t xml:space="preserve">understanding of the material as </w:t>
      </w:r>
      <w:r w:rsidR="006A6E7B" w:rsidRPr="001B634D">
        <w:t>the class progresses</w:t>
      </w:r>
      <w:r w:rsidR="006B49D4" w:rsidRPr="001B634D">
        <w:t>, rather than trying to ‘get it’ right before an exam.  R</w:t>
      </w:r>
      <w:r w:rsidRPr="001B634D">
        <w:t xml:space="preserve">emember, on exams </w:t>
      </w:r>
      <w:r w:rsidR="004A51DA" w:rsidRPr="001B634D">
        <w:t>s</w:t>
      </w:r>
      <w:r w:rsidR="006A6E7B" w:rsidRPr="001B634D">
        <w:t>t</w:t>
      </w:r>
      <w:r w:rsidR="004A51DA" w:rsidRPr="001B634D">
        <w:t>u</w:t>
      </w:r>
      <w:r w:rsidR="006A6E7B" w:rsidRPr="001B634D">
        <w:t>dents</w:t>
      </w:r>
      <w:r w:rsidRPr="001B634D">
        <w:t xml:space="preserve"> </w:t>
      </w:r>
      <w:r w:rsidR="004A51DA" w:rsidRPr="001B634D">
        <w:t>are</w:t>
      </w:r>
      <w:r w:rsidRPr="001B634D">
        <w:t xml:space="preserve"> required to perform all work (e.g., problem setup, solution generation, a</w:t>
      </w:r>
      <w:r w:rsidR="004A51DA" w:rsidRPr="001B634D">
        <w:t xml:space="preserve">nd answer presentation) on their </w:t>
      </w:r>
      <w:r w:rsidRPr="001B634D">
        <w:t xml:space="preserve">own.  </w:t>
      </w:r>
    </w:p>
    <w:p w:rsidR="00306B8D" w:rsidRPr="001B634D" w:rsidRDefault="00306B8D" w:rsidP="00B306A9">
      <w:pPr>
        <w:outlineLvl w:val="0"/>
      </w:pPr>
    </w:p>
    <w:p w:rsidR="009B6ADB" w:rsidRPr="001B634D" w:rsidRDefault="009B6ADB" w:rsidP="00B306A9">
      <w:pPr>
        <w:ind w:firstLine="720"/>
        <w:jc w:val="both"/>
        <w:outlineLvl w:val="0"/>
      </w:pPr>
      <w:r w:rsidRPr="001B634D">
        <w:t>The L</w:t>
      </w:r>
      <w:r w:rsidR="004645DE">
        <w:t>aw</w:t>
      </w:r>
      <w:r w:rsidRPr="001B634D">
        <w:t xml:space="preserve"> School of policy is exams </w:t>
      </w:r>
      <w:r w:rsidR="004A51DA" w:rsidRPr="001B634D">
        <w:t xml:space="preserve">and quizzes </w:t>
      </w:r>
      <w:r w:rsidRPr="001B634D">
        <w:t>should not be missed unless there</w:t>
      </w:r>
      <w:r w:rsidR="004A51DA" w:rsidRPr="001B634D">
        <w:t xml:space="preserve"> is a very serious emergency </w:t>
      </w:r>
      <w:r w:rsidR="0064608C" w:rsidRPr="001B634D">
        <w:t xml:space="preserve">which is </w:t>
      </w:r>
      <w:r w:rsidRPr="001B634D">
        <w:t>properly documented</w:t>
      </w:r>
      <w:r w:rsidR="00EE5BDB" w:rsidRPr="001B634D">
        <w:t>, otherwise a score of zero results.</w:t>
      </w:r>
      <w:r w:rsidRPr="001B634D">
        <w:t xml:space="preserve">  A</w:t>
      </w:r>
      <w:r w:rsidR="004A51DA" w:rsidRPr="001B634D">
        <w:t>lso, to the extent possible, students</w:t>
      </w:r>
      <w:r w:rsidRPr="001B634D">
        <w:t xml:space="preserve"> must inform the instructor of the emergency prior to the exam (it is understood this is not</w:t>
      </w:r>
      <w:r w:rsidR="00CE7182" w:rsidRPr="001B634D">
        <w:t xml:space="preserve"> always possible).   In the case of a properly documented serious emergency, rather than a make-up exam a substitute grade will be calculated based on the student</w:t>
      </w:r>
      <w:r w:rsidR="00505CF0" w:rsidRPr="001B634D">
        <w:t>’s</w:t>
      </w:r>
      <w:r w:rsidR="00CE7182" w:rsidRPr="001B634D">
        <w:t xml:space="preserve"> score on next exam.  </w:t>
      </w:r>
    </w:p>
    <w:p w:rsidR="009B6ADB" w:rsidRPr="001B634D" w:rsidRDefault="009B6ADB" w:rsidP="00B306A9">
      <w:pPr>
        <w:outlineLvl w:val="0"/>
      </w:pPr>
    </w:p>
    <w:p w:rsidR="009B6ADB" w:rsidRDefault="009B6ADB" w:rsidP="00B306A9">
      <w:pPr>
        <w:ind w:firstLine="720"/>
        <w:outlineLvl w:val="0"/>
      </w:pPr>
      <w:r w:rsidRPr="001B634D">
        <w:t xml:space="preserve">The final exam must be taken at the scheduled time unless an incomplete contract has previously been approved </w:t>
      </w:r>
      <w:r w:rsidR="000A71CE" w:rsidRPr="001B634D">
        <w:t>per</w:t>
      </w:r>
      <w:r w:rsidRPr="001B634D">
        <w:t xml:space="preserve"> L</w:t>
      </w:r>
      <w:r w:rsidR="004645DE">
        <w:t xml:space="preserve">aw School </w:t>
      </w:r>
      <w:r w:rsidRPr="001B634D">
        <w:t xml:space="preserve">guidelines.  </w:t>
      </w:r>
    </w:p>
    <w:p w:rsidR="00D102FC" w:rsidRPr="001B634D" w:rsidRDefault="00D102FC" w:rsidP="00B306A9">
      <w:pPr>
        <w:ind w:firstLine="720"/>
        <w:outlineLvl w:val="0"/>
      </w:pPr>
    </w:p>
    <w:p w:rsidR="009E246F" w:rsidRPr="001B634D" w:rsidRDefault="009E246F" w:rsidP="00B306A9">
      <w:pPr>
        <w:jc w:val="both"/>
        <w:rPr>
          <w:b/>
          <w:u w:val="single"/>
        </w:rPr>
      </w:pPr>
    </w:p>
    <w:p w:rsidR="00B04B7A" w:rsidRPr="001B634D" w:rsidRDefault="0001548B" w:rsidP="003912B4">
      <w:pPr>
        <w:keepNext/>
        <w:tabs>
          <w:tab w:val="left" w:pos="661"/>
          <w:tab w:val="left" w:pos="7938"/>
        </w:tabs>
        <w:ind w:left="103"/>
        <w:outlineLvl w:val="0"/>
        <w:rPr>
          <w:b/>
          <w:bCs/>
          <w:u w:val="single"/>
        </w:rPr>
      </w:pPr>
      <w:r w:rsidRPr="001B634D">
        <w:rPr>
          <w:b/>
          <w:iCs/>
          <w:u w:val="single"/>
        </w:rPr>
        <w:t>Add/Drop Process</w:t>
      </w:r>
      <w:r w:rsidR="008516E6" w:rsidRPr="001B634D">
        <w:rPr>
          <w:b/>
          <w:bCs/>
          <w:u w:val="single"/>
        </w:rPr>
        <w:t xml:space="preserve"> </w:t>
      </w:r>
    </w:p>
    <w:p w:rsidR="00E84A40" w:rsidRPr="001B634D" w:rsidRDefault="00E84A40" w:rsidP="00E84A40">
      <w:pPr>
        <w:jc w:val="center"/>
        <w:rPr>
          <w:b/>
          <w:bCs/>
          <w:u w:val="single"/>
        </w:rPr>
      </w:pPr>
    </w:p>
    <w:p w:rsidR="005F4922" w:rsidRDefault="00A267B2" w:rsidP="00F23909">
      <w:pPr>
        <w:tabs>
          <w:tab w:val="left" w:pos="1101"/>
        </w:tabs>
      </w:pPr>
      <w:r>
        <w:rPr>
          <w:bCs/>
        </w:rPr>
        <w:tab/>
      </w:r>
      <w:r w:rsidR="00B6443F" w:rsidRPr="001B634D">
        <w:rPr>
          <w:bCs/>
        </w:rPr>
        <w:t>D</w:t>
      </w:r>
      <w:r w:rsidR="00E84A40" w:rsidRPr="001B634D">
        <w:rPr>
          <w:bCs/>
        </w:rPr>
        <w:t>uring the first week of classes, s</w:t>
      </w:r>
      <w:r w:rsidR="00DC59DD" w:rsidRPr="001B634D">
        <w:t xml:space="preserve">tudents </w:t>
      </w:r>
      <w:r>
        <w:t xml:space="preserve">add classes on their own via </w:t>
      </w:r>
      <w:r w:rsidR="00E84A40" w:rsidRPr="001B634D">
        <w:t>web registration</w:t>
      </w:r>
      <w:r w:rsidR="00DC59DD" w:rsidRPr="001B634D">
        <w:t xml:space="preserve">. After the first week, students must </w:t>
      </w:r>
      <w:r w:rsidR="00B6443F" w:rsidRPr="001B634D">
        <w:t xml:space="preserve">get permission to add from </w:t>
      </w:r>
      <w:r w:rsidR="00DC59DD" w:rsidRPr="001B634D">
        <w:t>the</w:t>
      </w:r>
      <w:r w:rsidR="00B6443F" w:rsidRPr="001B634D">
        <w:t xml:space="preserve"> instructor</w:t>
      </w:r>
      <w:r w:rsidR="001000AC">
        <w:t>.  Request permission in an e-mail which shows your name, student id number, the course name &amp; number, as well as the course meeting times (</w:t>
      </w:r>
      <w:r w:rsidR="001D0404">
        <w:t xml:space="preserve">for example, </w:t>
      </w:r>
      <w:r w:rsidR="00B75CBF">
        <w:t>M,W 4 pm</w:t>
      </w:r>
      <w:r w:rsidR="00F23909">
        <w:t xml:space="preserve">).  </w:t>
      </w:r>
    </w:p>
    <w:p w:rsidR="00F23909" w:rsidRPr="001B634D" w:rsidRDefault="00F23909" w:rsidP="00F23909">
      <w:pPr>
        <w:tabs>
          <w:tab w:val="left" w:pos="1101"/>
        </w:tabs>
        <w:rPr>
          <w:b/>
          <w:u w:val="single"/>
        </w:rPr>
      </w:pPr>
    </w:p>
    <w:p w:rsidR="00EE5676" w:rsidRPr="001B634D" w:rsidRDefault="00A6795A" w:rsidP="00EE5676">
      <w:pPr>
        <w:autoSpaceDE w:val="0"/>
        <w:autoSpaceDN w:val="0"/>
        <w:adjustRightInd w:val="0"/>
        <w:rPr>
          <w:b/>
          <w:bCs/>
          <w:color w:val="000000"/>
          <w:u w:val="single"/>
          <w:shd w:val="clear" w:color="auto" w:fill="BFBFBF"/>
        </w:rPr>
      </w:pPr>
      <w:r w:rsidRPr="001B634D">
        <w:rPr>
          <w:b/>
          <w:u w:val="single"/>
        </w:rPr>
        <w:t>Retention of Graded Coursework</w:t>
      </w:r>
      <w:r w:rsidR="00173C32" w:rsidRPr="001B634D">
        <w:rPr>
          <w:b/>
          <w:bCs/>
          <w:color w:val="000000"/>
          <w:u w:val="single"/>
          <w:shd w:val="clear" w:color="auto" w:fill="BFBFBF"/>
        </w:rPr>
        <w:t xml:space="preserve"> </w:t>
      </w:r>
    </w:p>
    <w:p w:rsidR="0012673C" w:rsidRPr="001B634D" w:rsidRDefault="0012673C" w:rsidP="009E246F">
      <w:pPr>
        <w:pStyle w:val="CommentText"/>
      </w:pPr>
    </w:p>
    <w:p w:rsidR="008333EF" w:rsidRPr="001B634D" w:rsidRDefault="009E246F" w:rsidP="0012673C">
      <w:pPr>
        <w:pStyle w:val="CommentText"/>
        <w:ind w:firstLine="720"/>
      </w:pPr>
      <w:r w:rsidRPr="001B634D">
        <w:t>Graded work th</w:t>
      </w:r>
      <w:r w:rsidR="00B306A9" w:rsidRPr="001B634D">
        <w:t xml:space="preserve">at </w:t>
      </w:r>
      <w:r w:rsidR="00B6443F" w:rsidRPr="001B634D">
        <w:t xml:space="preserve">was not </w:t>
      </w:r>
      <w:r w:rsidR="00B306A9" w:rsidRPr="001B634D">
        <w:t xml:space="preserve">returned </w:t>
      </w:r>
      <w:r w:rsidRPr="001B634D">
        <w:t xml:space="preserve">will be retained for one year after the end of the semester.  </w:t>
      </w:r>
    </w:p>
    <w:p w:rsidR="009E246F" w:rsidRPr="001B634D" w:rsidRDefault="009E246F" w:rsidP="009E246F">
      <w:pPr>
        <w:pStyle w:val="CommentText"/>
      </w:pPr>
    </w:p>
    <w:p w:rsidR="00EE5676" w:rsidRPr="001B634D" w:rsidRDefault="000502F7" w:rsidP="000502F7">
      <w:pPr>
        <w:rPr>
          <w:b/>
          <w:bCs/>
        </w:rPr>
      </w:pPr>
      <w:r w:rsidRPr="001B634D">
        <w:rPr>
          <w:b/>
          <w:bCs/>
          <w:u w:val="single"/>
        </w:rPr>
        <w:t>Technology</w:t>
      </w:r>
      <w:r w:rsidR="003C6A48" w:rsidRPr="001B634D">
        <w:rPr>
          <w:b/>
          <w:bCs/>
          <w:u w:val="single"/>
        </w:rPr>
        <w:t xml:space="preserve"> Policy</w:t>
      </w:r>
    </w:p>
    <w:p w:rsidR="0012673C" w:rsidRPr="001B634D" w:rsidRDefault="0012673C" w:rsidP="007E5F11">
      <w:pPr>
        <w:pStyle w:val="CommentText"/>
        <w:jc w:val="both"/>
      </w:pPr>
    </w:p>
    <w:p w:rsidR="003912B4" w:rsidRDefault="000502F7" w:rsidP="0012673C">
      <w:pPr>
        <w:pStyle w:val="CommentText"/>
        <w:ind w:firstLine="720"/>
        <w:jc w:val="both"/>
      </w:pPr>
      <w:r w:rsidRPr="001B634D">
        <w:t xml:space="preserve">Laptop and Internet usage is not permitted during </w:t>
      </w:r>
      <w:r w:rsidR="007F71FA" w:rsidRPr="001B634D">
        <w:t>class</w:t>
      </w:r>
      <w:r w:rsidRPr="001B634D">
        <w:t xml:space="preserve"> sessions unless otherwise stated</w:t>
      </w:r>
      <w:r w:rsidR="009E246F" w:rsidRPr="001B634D">
        <w:t xml:space="preserve"> by the p</w:t>
      </w:r>
      <w:r w:rsidRPr="001B634D">
        <w:t xml:space="preserve">rofessor.  Use of other personal communication devices, such as cell phones, is considered unprofessional and is not permitted during </w:t>
      </w:r>
      <w:r w:rsidR="007F71FA" w:rsidRPr="001B634D">
        <w:t xml:space="preserve">class </w:t>
      </w:r>
      <w:r w:rsidRPr="001B634D">
        <w:t>sessions</w:t>
      </w:r>
      <w:r w:rsidR="00282A8E" w:rsidRPr="001B634D">
        <w:t>, except in emergencies or as specified by USC’s Di</w:t>
      </w:r>
      <w:r w:rsidR="00D36CDE" w:rsidRPr="001B634D">
        <w:t>sability Services and Programs</w:t>
      </w:r>
      <w:r w:rsidRPr="001B634D">
        <w:t xml:space="preserve">. </w:t>
      </w:r>
      <w:r w:rsidR="009E246F" w:rsidRPr="001B634D">
        <w:t xml:space="preserve"> </w:t>
      </w:r>
      <w:r w:rsidR="00D245DA" w:rsidRPr="001B634D">
        <w:t xml:space="preserve">Upon request, all electronic </w:t>
      </w:r>
      <w:r w:rsidRPr="001B634D">
        <w:t xml:space="preserve">devices </w:t>
      </w:r>
      <w:r w:rsidR="00D36CDE" w:rsidRPr="001B634D">
        <w:t xml:space="preserve">in student’s </w:t>
      </w:r>
      <w:r w:rsidR="00D245DA" w:rsidRPr="001B634D">
        <w:t xml:space="preserve">possession </w:t>
      </w:r>
      <w:r w:rsidRPr="001B634D">
        <w:t>(</w:t>
      </w:r>
      <w:r w:rsidR="00A267B2">
        <w:t>for example</w:t>
      </w:r>
      <w:r w:rsidR="00D245DA" w:rsidRPr="001B634D">
        <w:t xml:space="preserve">, </w:t>
      </w:r>
      <w:r w:rsidRPr="001B634D">
        <w:t xml:space="preserve">phones, </w:t>
      </w:r>
      <w:r w:rsidR="00D245DA" w:rsidRPr="001B634D">
        <w:t>tablets</w:t>
      </w:r>
      <w:r w:rsidR="007F71FA" w:rsidRPr="001B634D">
        <w:t>, laptops</w:t>
      </w:r>
      <w:r w:rsidR="00D245DA" w:rsidRPr="001B634D">
        <w:t>) must</w:t>
      </w:r>
      <w:r w:rsidR="00282A8E" w:rsidRPr="001B634D">
        <w:t xml:space="preserve"> be completely turned off and/</w:t>
      </w:r>
      <w:r w:rsidR="00D245DA" w:rsidRPr="001B634D">
        <w:t xml:space="preserve">or </w:t>
      </w:r>
      <w:r w:rsidRPr="001B634D">
        <w:t xml:space="preserve">put </w:t>
      </w:r>
      <w:r w:rsidR="00D245DA" w:rsidRPr="001B634D">
        <w:t xml:space="preserve">face down on the desk in front of </w:t>
      </w:r>
      <w:r w:rsidR="00D36CDE" w:rsidRPr="001B634D">
        <w:t>the student</w:t>
      </w:r>
      <w:r w:rsidR="00D245DA" w:rsidRPr="001B634D">
        <w:t>.  In addition, at certain times (</w:t>
      </w:r>
      <w:r w:rsidR="00A267B2">
        <w:t>for example</w:t>
      </w:r>
      <w:r w:rsidR="00D245DA" w:rsidRPr="001B634D">
        <w:t>,</w:t>
      </w:r>
      <w:r w:rsidR="00B306A9" w:rsidRPr="001B634D">
        <w:t xml:space="preserve"> during exams), students </w:t>
      </w:r>
      <w:r w:rsidRPr="001B634D">
        <w:t xml:space="preserve">might also be asked to deposit </w:t>
      </w:r>
      <w:r w:rsidR="00D36CDE" w:rsidRPr="001B634D">
        <w:t xml:space="preserve">such </w:t>
      </w:r>
      <w:r w:rsidRPr="001B634D">
        <w:t>devices in a designated area in the classroom.</w:t>
      </w:r>
    </w:p>
    <w:p w:rsidR="00D36CDE" w:rsidRDefault="00D36CDE" w:rsidP="0012673C">
      <w:pPr>
        <w:pStyle w:val="CommentText"/>
        <w:ind w:firstLine="720"/>
        <w:jc w:val="both"/>
      </w:pPr>
    </w:p>
    <w:p w:rsidR="00D102FC" w:rsidRDefault="00D102FC" w:rsidP="0012673C">
      <w:pPr>
        <w:pStyle w:val="CommentText"/>
        <w:ind w:firstLine="720"/>
        <w:jc w:val="both"/>
      </w:pPr>
    </w:p>
    <w:p w:rsidR="005F4922" w:rsidRPr="001B634D" w:rsidRDefault="005F4922" w:rsidP="0012673C">
      <w:pPr>
        <w:pStyle w:val="CommentText"/>
        <w:ind w:firstLine="720"/>
        <w:jc w:val="both"/>
      </w:pPr>
    </w:p>
    <w:p w:rsidR="00282A8E" w:rsidRPr="001B634D" w:rsidRDefault="00282A8E" w:rsidP="00282A8E">
      <w:pPr>
        <w:keepNext/>
        <w:keepLines/>
        <w:outlineLvl w:val="0"/>
        <w:rPr>
          <w:b/>
          <w:u w:val="single"/>
        </w:rPr>
      </w:pPr>
      <w:r w:rsidRPr="001B634D">
        <w:rPr>
          <w:b/>
          <w:u w:val="single"/>
        </w:rPr>
        <w:lastRenderedPageBreak/>
        <w:t xml:space="preserve">Recordings  </w:t>
      </w:r>
    </w:p>
    <w:p w:rsidR="00282A8E" w:rsidRPr="001B634D" w:rsidRDefault="00282A8E" w:rsidP="0012673C">
      <w:pPr>
        <w:pStyle w:val="CommentText"/>
        <w:ind w:firstLine="720"/>
        <w:jc w:val="both"/>
      </w:pPr>
    </w:p>
    <w:p w:rsidR="001D0404" w:rsidRDefault="00130178" w:rsidP="009172C1">
      <w:pPr>
        <w:pStyle w:val="CommentText"/>
        <w:ind w:firstLine="720"/>
        <w:jc w:val="both"/>
      </w:pPr>
      <w:r w:rsidRPr="001B634D">
        <w:t>No student may record any lecture, class discussion</w:t>
      </w:r>
      <w:r w:rsidR="00D36CDE" w:rsidRPr="001B634D">
        <w:t>,</w:t>
      </w:r>
      <w:r w:rsidRPr="001B634D">
        <w:t xml:space="preserve"> or meeting with the professor without the professor’s prior express written permission.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The professor reserves all rights, including copyright, to lectures, course syllabi and related materials, including summaries, PowerPoints, prior exams, answer keys, and all supplementary course materials available to the students enrolled in this class whether posted o</w:t>
      </w:r>
      <w:r w:rsidR="009172C1" w:rsidRPr="001B634D">
        <w:t xml:space="preserve">n Blackboard or otherwise.  </w:t>
      </w:r>
    </w:p>
    <w:p w:rsidR="005F4922" w:rsidRDefault="005F4922" w:rsidP="009172C1">
      <w:pPr>
        <w:pStyle w:val="CommentText"/>
        <w:ind w:firstLine="720"/>
        <w:jc w:val="both"/>
      </w:pPr>
    </w:p>
    <w:p w:rsidR="009172C1" w:rsidRPr="001B634D" w:rsidRDefault="009172C1" w:rsidP="001D0404">
      <w:pPr>
        <w:pStyle w:val="CommentText"/>
        <w:jc w:val="both"/>
      </w:pPr>
      <w:r w:rsidRPr="001B634D">
        <w:t>These</w:t>
      </w:r>
      <w:r w:rsidR="00130178" w:rsidRPr="001B634D">
        <w:t xml:space="preserve"> may not be reproduced, distributed, copied, or disseminated in any media or in any form, including but not limited to all course note-sharing websites.  Exceptions are made for students who have </w:t>
      </w:r>
      <w:r w:rsidRPr="001B634D">
        <w:t>made prior arrangements with USC’s Disability Services and Programs</w:t>
      </w:r>
      <w:r w:rsidR="00130178" w:rsidRPr="001B634D">
        <w:t xml:space="preserve"> and the professor</w:t>
      </w:r>
      <w:r w:rsidRPr="001B634D">
        <w:t xml:space="preserve">.  </w:t>
      </w:r>
    </w:p>
    <w:p w:rsidR="00173C32" w:rsidRPr="001B634D" w:rsidRDefault="00173C32" w:rsidP="00427179"/>
    <w:p w:rsidR="00EE5676" w:rsidRPr="001B634D" w:rsidRDefault="003C6A48" w:rsidP="00EE5676">
      <w:pPr>
        <w:pStyle w:val="NormalWeb"/>
        <w:spacing w:before="0" w:beforeAutospacing="0" w:after="0" w:afterAutospacing="0"/>
        <w:rPr>
          <w:b/>
          <w:bCs/>
          <w:color w:val="000000"/>
          <w:u w:val="single"/>
        </w:rPr>
      </w:pPr>
      <w:r w:rsidRPr="001B634D">
        <w:rPr>
          <w:b/>
          <w:bCs/>
          <w:color w:val="000000"/>
          <w:u w:val="single"/>
        </w:rPr>
        <w:t>Statement for Students with Disabilities</w:t>
      </w:r>
    </w:p>
    <w:p w:rsidR="0012673C" w:rsidRPr="001B634D" w:rsidRDefault="0012673C" w:rsidP="007E5F11">
      <w:pPr>
        <w:pStyle w:val="CommentText"/>
        <w:jc w:val="both"/>
      </w:pPr>
    </w:p>
    <w:p w:rsidR="007A6D9A" w:rsidRPr="001B634D" w:rsidRDefault="004A63C6" w:rsidP="007A6D9A">
      <w:pPr>
        <w:pStyle w:val="CommentText"/>
        <w:ind w:firstLine="720"/>
      </w:pPr>
      <w:r w:rsidRPr="001B634D">
        <w:t>Any student requesting academic accommodations based on a disability is required to register with Disability Services and Programs (DSP) each semester</w:t>
      </w:r>
      <w:r w:rsidR="007A6D9A" w:rsidRPr="001B634D">
        <w:t xml:space="preserve">.   DSP is located in STU 301 and is open 8:30 a.m. – 5:00 p.m., Monday through Friday. The phone number for DSP is (213) 740-0776.  For more information visit </w:t>
      </w:r>
      <w:hyperlink r:id="rId10" w:history="1">
        <w:r w:rsidR="007A6D9A" w:rsidRPr="001B634D">
          <w:rPr>
            <w:rStyle w:val="Hyperlink"/>
          </w:rPr>
          <w:t>www.usc.edu/disability</w:t>
        </w:r>
      </w:hyperlink>
      <w:r w:rsidR="007A6D9A" w:rsidRPr="001B634D">
        <w:t xml:space="preserve">.  </w:t>
      </w:r>
    </w:p>
    <w:p w:rsidR="007A6D9A" w:rsidRPr="001B634D" w:rsidRDefault="007A6D9A" w:rsidP="007A6D9A">
      <w:pPr>
        <w:pStyle w:val="CommentText"/>
      </w:pPr>
    </w:p>
    <w:p w:rsidR="00C059D5" w:rsidRPr="001B634D" w:rsidRDefault="00C059D5" w:rsidP="00C059D5">
      <w:pPr>
        <w:pStyle w:val="CommentText"/>
        <w:ind w:firstLine="720"/>
        <w:jc w:val="both"/>
      </w:pPr>
      <w:r w:rsidRPr="001B634D">
        <w:t>DSP determines a</w:t>
      </w:r>
      <w:r w:rsidR="00501F82" w:rsidRPr="001B634D">
        <w:t>ll a</w:t>
      </w:r>
      <w:r w:rsidR="00FE6A6C" w:rsidRPr="001B634D">
        <w:t>ccommodations</w:t>
      </w:r>
      <w:r w:rsidRPr="001B634D">
        <w:t xml:space="preserve">.  These </w:t>
      </w:r>
      <w:r w:rsidR="00FE6A6C" w:rsidRPr="001B634D">
        <w:t xml:space="preserve">are specified in </w:t>
      </w:r>
      <w:r w:rsidR="00501F82" w:rsidRPr="001B634D">
        <w:t xml:space="preserve">the </w:t>
      </w:r>
      <w:r w:rsidR="00FE6A6C" w:rsidRPr="001B634D">
        <w:t>DSP</w:t>
      </w:r>
      <w:r w:rsidR="00501F82" w:rsidRPr="001B634D">
        <w:t>’s</w:t>
      </w:r>
      <w:r w:rsidR="00FE6A6C" w:rsidRPr="001B634D">
        <w:t xml:space="preserve"> Letter of V</w:t>
      </w:r>
      <w:r w:rsidR="007900ED" w:rsidRPr="001B634D">
        <w:t>erification</w:t>
      </w:r>
      <w:r w:rsidR="00FE6A6C" w:rsidRPr="001B634D">
        <w:t xml:space="preserve">, which must be presented to the instructor </w:t>
      </w:r>
      <w:r w:rsidR="007900ED" w:rsidRPr="001B634D">
        <w:t xml:space="preserve">as early in the semester as possible.  </w:t>
      </w:r>
    </w:p>
    <w:p w:rsidR="00C059D5" w:rsidRPr="001B634D" w:rsidRDefault="00C059D5" w:rsidP="00C059D5">
      <w:pPr>
        <w:pStyle w:val="CommentText"/>
        <w:ind w:firstLine="720"/>
        <w:jc w:val="both"/>
      </w:pPr>
    </w:p>
    <w:p w:rsidR="007900ED" w:rsidRPr="001B634D" w:rsidRDefault="007900ED" w:rsidP="0012673C">
      <w:pPr>
        <w:pStyle w:val="CommentText"/>
        <w:ind w:firstLine="720"/>
        <w:jc w:val="both"/>
      </w:pPr>
    </w:p>
    <w:p w:rsidR="00EE5676" w:rsidRPr="001B634D" w:rsidRDefault="003C6A48" w:rsidP="008516E6">
      <w:pPr>
        <w:widowControl w:val="0"/>
        <w:autoSpaceDE w:val="0"/>
        <w:autoSpaceDN w:val="0"/>
        <w:adjustRightInd w:val="0"/>
        <w:rPr>
          <w:b/>
          <w:bCs/>
          <w:color w:val="000000"/>
          <w:u w:val="single"/>
        </w:rPr>
      </w:pPr>
      <w:r w:rsidRPr="001B634D">
        <w:rPr>
          <w:b/>
          <w:bCs/>
          <w:color w:val="000000"/>
          <w:u w:val="single"/>
        </w:rPr>
        <w:t>Statement on Academic Integrity</w:t>
      </w:r>
      <w:r w:rsidR="008516E6" w:rsidRPr="001B634D">
        <w:rPr>
          <w:b/>
          <w:bCs/>
          <w:color w:val="000000"/>
          <w:u w:val="single"/>
        </w:rPr>
        <w:t xml:space="preserve"> </w:t>
      </w:r>
    </w:p>
    <w:p w:rsidR="007A6D9A" w:rsidRPr="001B634D" w:rsidRDefault="007A6D9A" w:rsidP="008516E6">
      <w:pPr>
        <w:widowControl w:val="0"/>
        <w:autoSpaceDE w:val="0"/>
        <w:autoSpaceDN w:val="0"/>
        <w:adjustRightInd w:val="0"/>
        <w:rPr>
          <w:b/>
          <w:bCs/>
          <w:color w:val="000000"/>
          <w:u w:val="single"/>
        </w:rPr>
      </w:pPr>
    </w:p>
    <w:p w:rsidR="00D4693C" w:rsidRPr="001B634D" w:rsidRDefault="00047AFE" w:rsidP="0012673C">
      <w:pPr>
        <w:ind w:firstLine="720"/>
        <w:jc w:val="both"/>
      </w:pPr>
      <w:r w:rsidRPr="001B634D">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w:t>
      </w:r>
      <w:r w:rsidR="004A63C6" w:rsidRPr="001B634D">
        <w:t xml:space="preserve"> </w:t>
      </w:r>
      <w:r w:rsidRPr="001B634D">
        <w:t xml:space="preserve">All students are expected to understand and abide by these principles. </w:t>
      </w:r>
      <w:r w:rsidR="004A63C6" w:rsidRPr="001B634D">
        <w:t xml:space="preserve"> </w:t>
      </w:r>
      <w:r w:rsidRPr="001B634D">
        <w:t xml:space="preserve">SCampus, the Student Guidebook, </w:t>
      </w:r>
      <w:r w:rsidR="007179B4" w:rsidRPr="001B634D">
        <w:t>(</w:t>
      </w:r>
      <w:hyperlink r:id="rId11" w:history="1">
        <w:r w:rsidR="00A52E29" w:rsidRPr="001B634D">
          <w:rPr>
            <w:rStyle w:val="Hyperlink"/>
            <w:u w:val="none"/>
          </w:rPr>
          <w:t>www.usc.edu/scampus</w:t>
        </w:r>
      </w:hyperlink>
      <w:r w:rsidR="007179B4" w:rsidRPr="001B634D">
        <w:t xml:space="preserve"> or </w:t>
      </w:r>
      <w:hyperlink r:id="rId12" w:history="1">
        <w:r w:rsidR="00A52E29" w:rsidRPr="001B634D">
          <w:rPr>
            <w:rStyle w:val="Hyperlink"/>
            <w:u w:val="none"/>
          </w:rPr>
          <w:t>http://scampus.usc.edu</w:t>
        </w:r>
      </w:hyperlink>
      <w:r w:rsidR="007179B4" w:rsidRPr="001B634D">
        <w:t xml:space="preserve">) </w:t>
      </w:r>
      <w:r w:rsidRPr="001B634D">
        <w:t xml:space="preserve">contains the </w:t>
      </w:r>
      <w:r w:rsidR="0089343E" w:rsidRPr="001B634D">
        <w:t xml:space="preserve">University </w:t>
      </w:r>
      <w:r w:rsidRPr="001B634D">
        <w:t xml:space="preserve">Student Conduct Code </w:t>
      </w:r>
      <w:r w:rsidR="0089343E" w:rsidRPr="001B634D">
        <w:t xml:space="preserve">(see </w:t>
      </w:r>
      <w:r w:rsidR="007179B4" w:rsidRPr="001B634D">
        <w:t xml:space="preserve">University Governance, </w:t>
      </w:r>
      <w:r w:rsidRPr="001B634D">
        <w:t>Section 11.00</w:t>
      </w:r>
      <w:r w:rsidR="0089343E" w:rsidRPr="001B634D">
        <w:t>)</w:t>
      </w:r>
      <w:r w:rsidRPr="001B634D">
        <w:t xml:space="preserve">, while the recommended sanctions are located in Appendix A. </w:t>
      </w:r>
    </w:p>
    <w:p w:rsidR="00D4693C" w:rsidRPr="001B634D" w:rsidRDefault="00D4693C" w:rsidP="007E5F11">
      <w:pPr>
        <w:pStyle w:val="CommentText"/>
        <w:jc w:val="both"/>
      </w:pPr>
    </w:p>
    <w:p w:rsidR="001D0404" w:rsidRDefault="00047AFE" w:rsidP="0012673C">
      <w:pPr>
        <w:pStyle w:val="CommentText"/>
        <w:ind w:firstLine="720"/>
        <w:jc w:val="both"/>
      </w:pPr>
      <w:r w:rsidRPr="001B634D">
        <w:t xml:space="preserve">Students will be referred to the Office of Student Judicial Affairs and Community Standards for further review, should there be any suspicion of academic dishonesty. </w:t>
      </w:r>
      <w:r w:rsidR="004A63C6" w:rsidRPr="001B634D">
        <w:t xml:space="preserve"> </w:t>
      </w:r>
      <w:r w:rsidRPr="001B634D">
        <w:t xml:space="preserve">The Review process can be found at: </w:t>
      </w:r>
      <w:hyperlink r:id="rId13" w:history="1">
        <w:r w:rsidR="00A52E29" w:rsidRPr="001B634D">
          <w:rPr>
            <w:rStyle w:val="Hyperlink"/>
            <w:u w:val="none"/>
          </w:rPr>
          <w:t>http://www.usc.edu/student-affairs/SJACS/</w:t>
        </w:r>
      </w:hyperlink>
      <w:r w:rsidR="00944814" w:rsidRPr="001B634D">
        <w:t>.</w:t>
      </w:r>
      <w:r w:rsidRPr="001B634D">
        <w:t xml:space="preserve"> </w:t>
      </w:r>
      <w:r w:rsidR="004A63C6" w:rsidRPr="001B634D">
        <w:t xml:space="preserve"> </w:t>
      </w:r>
      <w:r w:rsidRPr="001B634D">
        <w:t>Failure to adhere to the academic conduct standards set forth by these guidelines and our programs will not be tolerated by the USC Marshall community and can lead to dismissal.</w:t>
      </w:r>
    </w:p>
    <w:p w:rsidR="001D0404" w:rsidRDefault="001D0404" w:rsidP="0012673C">
      <w:pPr>
        <w:pStyle w:val="CommentText"/>
        <w:ind w:firstLine="720"/>
        <w:jc w:val="both"/>
      </w:pPr>
    </w:p>
    <w:p w:rsidR="00D102FC" w:rsidRDefault="00D102FC" w:rsidP="0012673C">
      <w:pPr>
        <w:pStyle w:val="CommentText"/>
        <w:ind w:firstLine="720"/>
        <w:jc w:val="both"/>
      </w:pPr>
    </w:p>
    <w:p w:rsidR="00D102FC" w:rsidRDefault="00D102FC" w:rsidP="0012673C">
      <w:pPr>
        <w:pStyle w:val="CommentText"/>
        <w:ind w:firstLine="720"/>
        <w:jc w:val="both"/>
      </w:pPr>
    </w:p>
    <w:p w:rsidR="00D102FC" w:rsidRDefault="00D102FC" w:rsidP="0012673C">
      <w:pPr>
        <w:pStyle w:val="CommentText"/>
        <w:ind w:firstLine="720"/>
        <w:jc w:val="both"/>
      </w:pPr>
    </w:p>
    <w:p w:rsidR="00D102FC" w:rsidRDefault="00D102FC" w:rsidP="0012673C">
      <w:pPr>
        <w:pStyle w:val="CommentText"/>
        <w:ind w:firstLine="720"/>
        <w:jc w:val="both"/>
      </w:pPr>
    </w:p>
    <w:p w:rsidR="00FF391F" w:rsidRDefault="00FF391F">
      <w:r>
        <w:br w:type="page"/>
      </w:r>
    </w:p>
    <w:p w:rsidR="00D102FC" w:rsidRDefault="00D102FC" w:rsidP="0012673C">
      <w:pPr>
        <w:pStyle w:val="CommentText"/>
        <w:ind w:firstLine="720"/>
        <w:jc w:val="both"/>
      </w:pPr>
    </w:p>
    <w:p w:rsidR="00904D10" w:rsidRPr="001B634D" w:rsidRDefault="00904D10" w:rsidP="003912B4">
      <w:pPr>
        <w:pStyle w:val="CommentText"/>
        <w:jc w:val="both"/>
        <w:rPr>
          <w:u w:val="single"/>
        </w:rPr>
      </w:pPr>
      <w:r w:rsidRPr="001B634D">
        <w:rPr>
          <w:b/>
          <w:bCs/>
          <w:iCs/>
          <w:u w:val="single"/>
        </w:rPr>
        <w:t xml:space="preserve">Statement on Academic Conduct and Support Systems </w:t>
      </w:r>
      <w:r w:rsidRPr="001B634D">
        <w:rPr>
          <w:iCs/>
          <w:u w:val="single"/>
        </w:rPr>
        <w:t> </w:t>
      </w:r>
    </w:p>
    <w:p w:rsidR="00904D10" w:rsidRPr="001B634D" w:rsidRDefault="00904D10" w:rsidP="00904D10">
      <w:pPr>
        <w:pStyle w:val="default"/>
        <w:ind w:firstLine="720"/>
      </w:pPr>
      <w:r w:rsidRPr="001B634D">
        <w:rPr>
          <w:b/>
          <w:bCs/>
          <w:iCs/>
        </w:rPr>
        <w:t xml:space="preserve">Academic Conduct </w:t>
      </w:r>
    </w:p>
    <w:p w:rsidR="00FF391F" w:rsidRPr="00FF391F" w:rsidRDefault="00FF391F" w:rsidP="00FF391F">
      <w:pPr>
        <w:pStyle w:val="default"/>
        <w:ind w:firstLine="720"/>
        <w:jc w:val="both"/>
        <w:rPr>
          <w:iCs/>
        </w:rPr>
      </w:pPr>
      <w:r w:rsidRPr="00FF391F">
        <w:rPr>
          <w:iCs/>
        </w:rPr>
        <w:t>Students enrolled in any class offered by the L</w:t>
      </w:r>
      <w:r w:rsidR="005F4922">
        <w:rPr>
          <w:iCs/>
        </w:rPr>
        <w:t>aw School</w:t>
      </w:r>
      <w:r w:rsidRPr="00FF391F">
        <w:rPr>
          <w:iCs/>
        </w:rPr>
        <w:t xml:space="preserve"> are expected to uphold and adhere to the standards of academic integrity established by the L</w:t>
      </w:r>
      <w:r w:rsidR="005F4922">
        <w:rPr>
          <w:iCs/>
        </w:rPr>
        <w:t>aw</w:t>
      </w:r>
      <w:r w:rsidRPr="00FF391F">
        <w:rPr>
          <w:iCs/>
        </w:rPr>
        <w:t xml:space="preserve"> School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rsidR="00904D10" w:rsidRPr="001B634D" w:rsidRDefault="00904D10" w:rsidP="00B00AEF">
      <w:pPr>
        <w:pStyle w:val="default"/>
        <w:ind w:firstLine="720"/>
        <w:jc w:val="both"/>
        <w:rPr>
          <w:iCs/>
        </w:rPr>
      </w:pPr>
      <w:r w:rsidRPr="001B634D">
        <w:rPr>
          <w:iCs/>
        </w:rPr>
        <w:t xml:space="preserve">Plagiarism – presenting someone else’s ideas as your own, either verbatim or recast in your own words – is a serious academic offense with serious consequences. Please familiarize yourself with the discussion of plagiarism in SCampus in Section 11, Behavior Violating University Standardshttps://scampus.usc.edu/1100-behavior-violating-university-standards-and-appropriate-sanctions/. Other forms of academic dishonesty are equally unacceptable. See additional information in SCampus and university policies on scientific misconduct, http://policy.usc.edu/scientific-misconduct/. </w:t>
      </w:r>
    </w:p>
    <w:p w:rsidR="00822D65" w:rsidRDefault="00904D10" w:rsidP="00B00AEF">
      <w:pPr>
        <w:pStyle w:val="default"/>
        <w:ind w:firstLine="720"/>
        <w:jc w:val="both"/>
        <w:rPr>
          <w:iCs/>
        </w:rPr>
      </w:pPr>
      <w:r w:rsidRPr="001B634D">
        <w:rPr>
          <w:iCs/>
        </w:rPr>
        <w:t>Discrimination, sexual assault, and harassment are not tolerated by the university. You are encouraged to report any incidents to the Office of Equity and Diversity http://equity.usc.edu/ or to the Department of Public Safety http://capsnet.usc.edu/department/department-public-safety/online-forms/contact-us.</w:t>
      </w:r>
    </w:p>
    <w:p w:rsidR="00904D10" w:rsidRPr="001B634D" w:rsidRDefault="00904D10" w:rsidP="00822D65">
      <w:pPr>
        <w:pStyle w:val="default"/>
        <w:jc w:val="both"/>
      </w:pPr>
      <w:r w:rsidRPr="001B634D">
        <w:rPr>
          <w:iCs/>
        </w:rPr>
        <w:t>This is important for the safety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support, and the sexual assault resource center webpage sarc@usc.edu describes reporting options and other resources.  </w:t>
      </w:r>
    </w:p>
    <w:p w:rsidR="00904D10" w:rsidRPr="001B634D" w:rsidRDefault="00904D10" w:rsidP="00B00AEF">
      <w:pPr>
        <w:pStyle w:val="default"/>
        <w:ind w:firstLine="720"/>
      </w:pPr>
      <w:r w:rsidRPr="001B634D">
        <w:rPr>
          <w:b/>
          <w:bCs/>
          <w:iCs/>
        </w:rPr>
        <w:t xml:space="preserve">Support Systems </w:t>
      </w:r>
    </w:p>
    <w:p w:rsidR="00E1050D" w:rsidRPr="001B634D" w:rsidRDefault="000A71CE" w:rsidP="00B00AEF">
      <w:pPr>
        <w:ind w:firstLine="720"/>
        <w:jc w:val="both"/>
        <w:rPr>
          <w:iCs/>
        </w:rPr>
      </w:pPr>
      <w:r w:rsidRPr="001B634D">
        <w:rPr>
          <w:iCs/>
        </w:rPr>
        <w:t>Several</w:t>
      </w:r>
      <w:r w:rsidR="00904D10" w:rsidRPr="001B634D">
        <w:rPr>
          <w:iCs/>
        </w:rPr>
        <w:t xml:space="preserve">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w:t>
      </w:r>
      <w:r w:rsidR="00E1050D" w:rsidRPr="001B634D">
        <w:rPr>
          <w:iCs/>
        </w:rPr>
        <w:t xml:space="preserve"> </w:t>
      </w:r>
    </w:p>
    <w:p w:rsidR="00E1050D" w:rsidRPr="001B634D" w:rsidRDefault="00E1050D" w:rsidP="00B00AEF">
      <w:pPr>
        <w:ind w:firstLine="720"/>
        <w:jc w:val="both"/>
        <w:rPr>
          <w:iCs/>
        </w:rPr>
      </w:pPr>
    </w:p>
    <w:p w:rsidR="00B00AEF" w:rsidRPr="001B634D" w:rsidRDefault="00E1050D" w:rsidP="00B00AEF">
      <w:pPr>
        <w:ind w:firstLine="720"/>
        <w:jc w:val="both"/>
        <w:rPr>
          <w:iCs/>
        </w:rPr>
      </w:pPr>
      <w:r w:rsidRPr="001B634D">
        <w:rPr>
          <w:iCs/>
        </w:rPr>
        <w:t xml:space="preserve">As noted above, USC’s </w:t>
      </w:r>
      <w:r w:rsidR="00904D10" w:rsidRPr="001B634D">
        <w:rPr>
          <w:iCs/>
        </w:rPr>
        <w:t>Office of Disability Services and Programs</w:t>
      </w:r>
      <w:r w:rsidRPr="001B634D">
        <w:rPr>
          <w:iCs/>
        </w:rPr>
        <w:t xml:space="preserve"> (DSP) </w:t>
      </w:r>
    </w:p>
    <w:p w:rsidR="00E1050D" w:rsidRPr="001B634D" w:rsidRDefault="00B00AEF" w:rsidP="00E1050D">
      <w:pPr>
        <w:jc w:val="both"/>
        <w:rPr>
          <w:iCs/>
        </w:rPr>
      </w:pPr>
      <w:r w:rsidRPr="001B634D">
        <w:rPr>
          <w:iCs/>
        </w:rPr>
        <w:t xml:space="preserve">http://sait.usc.edu/academicsupport/centerprograms/dsp/home_index.html </w:t>
      </w:r>
      <w:r w:rsidR="00904D10" w:rsidRPr="001B634D">
        <w:rPr>
          <w:iCs/>
        </w:rPr>
        <w:t xml:space="preserve">provides certification for students with disabilities and helps arrange the relevant accommodations. </w:t>
      </w:r>
    </w:p>
    <w:p w:rsidR="00E1050D" w:rsidRPr="001B634D" w:rsidRDefault="00E1050D" w:rsidP="00E1050D">
      <w:pPr>
        <w:jc w:val="both"/>
        <w:rPr>
          <w:iCs/>
        </w:rPr>
      </w:pPr>
    </w:p>
    <w:p w:rsidR="00904D10" w:rsidRPr="001B634D" w:rsidRDefault="00E1050D" w:rsidP="00E1050D">
      <w:pPr>
        <w:ind w:firstLine="720"/>
        <w:jc w:val="both"/>
        <w:rPr>
          <w:iCs/>
        </w:rPr>
      </w:pPr>
      <w:r w:rsidRPr="001B634D">
        <w:rPr>
          <w:iCs/>
        </w:rPr>
        <w:t>As noted below, i</w:t>
      </w:r>
      <w:r w:rsidR="00904D10" w:rsidRPr="001B634D">
        <w:rPr>
          <w:iCs/>
        </w:rPr>
        <w:t>f an officially declared emergency makes travel to campus infeasible, USC Emergency Information http://emergency.usc.edu/will provide safety and other updates, including ways in which instruction will be continued by means of blackboard, teleconferencing, and other technology.</w:t>
      </w:r>
    </w:p>
    <w:p w:rsidR="008849EC" w:rsidRPr="001B634D" w:rsidRDefault="008849EC" w:rsidP="003C6A48">
      <w:pPr>
        <w:widowControl w:val="0"/>
        <w:autoSpaceDE w:val="0"/>
        <w:autoSpaceDN w:val="0"/>
        <w:adjustRightInd w:val="0"/>
        <w:rPr>
          <w:b/>
          <w:u w:val="single"/>
        </w:rPr>
      </w:pPr>
    </w:p>
    <w:p w:rsidR="00427179" w:rsidRPr="001B634D" w:rsidRDefault="003C6A48" w:rsidP="003C6A48">
      <w:pPr>
        <w:widowControl w:val="0"/>
        <w:autoSpaceDE w:val="0"/>
        <w:autoSpaceDN w:val="0"/>
        <w:adjustRightInd w:val="0"/>
        <w:rPr>
          <w:b/>
          <w:bCs/>
          <w:color w:val="000000"/>
          <w:u w:val="single"/>
        </w:rPr>
      </w:pPr>
      <w:r w:rsidRPr="001B634D">
        <w:rPr>
          <w:b/>
          <w:u w:val="single"/>
        </w:rPr>
        <w:lastRenderedPageBreak/>
        <w:t>Emergency Preparedness/Course Continuity</w:t>
      </w:r>
      <w:r w:rsidR="00943434" w:rsidRPr="001B634D">
        <w:rPr>
          <w:b/>
          <w:u w:val="single"/>
        </w:rPr>
        <w:t xml:space="preserve"> </w:t>
      </w:r>
      <w:r w:rsidR="008333EF" w:rsidRPr="001B634D">
        <w:rPr>
          <w:b/>
          <w:bCs/>
          <w:color w:val="000000"/>
          <w:u w:val="single"/>
        </w:rPr>
        <w:t xml:space="preserve"> </w:t>
      </w:r>
    </w:p>
    <w:p w:rsidR="0012673C" w:rsidRPr="001B634D" w:rsidRDefault="0012673C" w:rsidP="007E5F11">
      <w:pPr>
        <w:pStyle w:val="CommentText"/>
        <w:jc w:val="both"/>
      </w:pPr>
    </w:p>
    <w:p w:rsidR="008333EF" w:rsidRPr="001B634D" w:rsidRDefault="003C6A48" w:rsidP="0012673C">
      <w:pPr>
        <w:pStyle w:val="CommentText"/>
        <w:ind w:firstLine="720"/>
        <w:jc w:val="both"/>
      </w:pPr>
      <w:r w:rsidRPr="001B634D">
        <w:t xml:space="preserve">In case of </w:t>
      </w:r>
      <w:r w:rsidR="00E071CE" w:rsidRPr="001B634D">
        <w:t xml:space="preserve">a declared </w:t>
      </w:r>
      <w:r w:rsidRPr="001B634D">
        <w:t xml:space="preserve">emergency </w:t>
      </w:r>
      <w:r w:rsidR="00E071CE" w:rsidRPr="001B634D">
        <w:t xml:space="preserve">if </w:t>
      </w:r>
      <w:r w:rsidRPr="001B634D">
        <w:t xml:space="preserve">travel to campus is </w:t>
      </w:r>
      <w:r w:rsidR="00E071CE" w:rsidRPr="001B634D">
        <w:t>not feasible</w:t>
      </w:r>
      <w:r w:rsidRPr="001B634D">
        <w:t xml:space="preserve">, USC executive leadership will announce an electronic way for instructors to teach students in their residence halls or homes using a combination of Blackboard, teleconferencing, and other technologies. </w:t>
      </w:r>
      <w:r w:rsidR="004A63C6" w:rsidRPr="001B634D">
        <w:t xml:space="preserve"> </w:t>
      </w:r>
    </w:p>
    <w:p w:rsidR="008333EF" w:rsidRPr="001B634D" w:rsidRDefault="008333EF" w:rsidP="004A63C6">
      <w:pPr>
        <w:pStyle w:val="CommentText"/>
      </w:pPr>
    </w:p>
    <w:p w:rsidR="004A63C6" w:rsidRPr="001B634D" w:rsidRDefault="004A63C6" w:rsidP="0012673C">
      <w:pPr>
        <w:pStyle w:val="CommentText"/>
        <w:ind w:firstLine="720"/>
      </w:pPr>
      <w:r w:rsidRPr="001B634D">
        <w:t xml:space="preserve">For additional </w:t>
      </w:r>
      <w:r w:rsidR="00AD5F4D" w:rsidRPr="001B634D">
        <w:t>information, students</w:t>
      </w:r>
      <w:r w:rsidR="00A52E29" w:rsidRPr="001B634D">
        <w:t xml:space="preserve"> may use any of the following:  </w:t>
      </w:r>
    </w:p>
    <w:p w:rsidR="004A63C6" w:rsidRPr="001B634D" w:rsidRDefault="004A63C6" w:rsidP="004A63C6">
      <w:pPr>
        <w:pStyle w:val="CommentText"/>
      </w:pPr>
    </w:p>
    <w:p w:rsidR="004A63C6" w:rsidRPr="001B634D" w:rsidRDefault="004A63C6" w:rsidP="004A63C6">
      <w:pPr>
        <w:ind w:left="1440" w:hanging="1440"/>
        <w:jc w:val="center"/>
        <w:rPr>
          <w:b/>
        </w:rPr>
      </w:pPr>
      <w:r w:rsidRPr="001B634D">
        <w:rPr>
          <w:b/>
        </w:rPr>
        <w:t>USC Emergency – (213) 740-4321</w:t>
      </w:r>
    </w:p>
    <w:p w:rsidR="004A63C6" w:rsidRPr="001B634D" w:rsidRDefault="004A63C6" w:rsidP="004A63C6">
      <w:pPr>
        <w:ind w:left="1440" w:hanging="1440"/>
        <w:jc w:val="center"/>
        <w:rPr>
          <w:b/>
        </w:rPr>
      </w:pPr>
      <w:r w:rsidRPr="001B634D">
        <w:rPr>
          <w:b/>
        </w:rPr>
        <w:t>USC Emergency Information – (213) 740-9233</w:t>
      </w:r>
    </w:p>
    <w:p w:rsidR="004A63C6" w:rsidRPr="001B634D" w:rsidRDefault="004A63C6" w:rsidP="004A63C6">
      <w:pPr>
        <w:ind w:left="1440" w:hanging="1440"/>
        <w:jc w:val="center"/>
        <w:rPr>
          <w:b/>
        </w:rPr>
      </w:pPr>
      <w:r w:rsidRPr="001B634D">
        <w:rPr>
          <w:b/>
        </w:rPr>
        <w:t>USC Information – (213) 740-2311</w:t>
      </w:r>
    </w:p>
    <w:p w:rsidR="001A5EB3" w:rsidRDefault="004A63C6" w:rsidP="004A63C6">
      <w:pPr>
        <w:ind w:left="1440" w:hanging="1440"/>
        <w:jc w:val="center"/>
        <w:rPr>
          <w:b/>
        </w:rPr>
      </w:pPr>
      <w:r w:rsidRPr="001B634D">
        <w:rPr>
          <w:b/>
        </w:rPr>
        <w:t>KUSC Radio – 91.5 FM</w:t>
      </w:r>
    </w:p>
    <w:p w:rsidR="001D0404" w:rsidRDefault="001D0404" w:rsidP="004A63C6">
      <w:pPr>
        <w:ind w:left="1440" w:hanging="1440"/>
        <w:jc w:val="center"/>
        <w:rPr>
          <w:b/>
        </w:rPr>
      </w:pPr>
    </w:p>
    <w:p w:rsidR="003F6068" w:rsidRPr="00FF391F" w:rsidRDefault="003F6068" w:rsidP="004A63C6">
      <w:pPr>
        <w:ind w:left="1440" w:hanging="1440"/>
        <w:jc w:val="center"/>
        <w:rPr>
          <w:bCs/>
          <w:smallCaps/>
          <w:sz w:val="20"/>
          <w:szCs w:val="20"/>
        </w:rPr>
      </w:pPr>
      <w:r w:rsidRPr="00FF391F">
        <w:rPr>
          <w:bCs/>
          <w:smallCaps/>
          <w:sz w:val="20"/>
          <w:szCs w:val="20"/>
        </w:rPr>
        <w:t xml:space="preserve">Schedule of </w:t>
      </w:r>
      <w:r w:rsidR="001A5EB3" w:rsidRPr="00FF391F">
        <w:rPr>
          <w:bCs/>
          <w:smallCaps/>
          <w:sz w:val="20"/>
          <w:szCs w:val="20"/>
        </w:rPr>
        <w:t>Class Sessions</w:t>
      </w:r>
    </w:p>
    <w:tbl>
      <w:tblPr>
        <w:tblW w:w="10710" w:type="dxa"/>
        <w:tblInd w:w="-360" w:type="dxa"/>
        <w:tblLayout w:type="fixed"/>
        <w:tblCellMar>
          <w:left w:w="0" w:type="dxa"/>
          <w:right w:w="0" w:type="dxa"/>
        </w:tblCellMar>
        <w:tblLook w:val="0000" w:firstRow="0" w:lastRow="0" w:firstColumn="0" w:lastColumn="0" w:noHBand="0" w:noVBand="0"/>
      </w:tblPr>
      <w:tblGrid>
        <w:gridCol w:w="720"/>
        <w:gridCol w:w="5400"/>
        <w:gridCol w:w="1260"/>
        <w:gridCol w:w="3330"/>
      </w:tblGrid>
      <w:tr w:rsidR="00CA38F4" w:rsidRPr="00FF391F" w:rsidTr="00EA7A94">
        <w:trPr>
          <w:trHeight w:val="68"/>
        </w:trPr>
        <w:tc>
          <w:tcPr>
            <w:tcW w:w="720" w:type="dxa"/>
            <w:tcBorders>
              <w:top w:val="nil"/>
              <w:left w:val="nil"/>
              <w:bottom w:val="single" w:sz="4" w:space="0" w:color="auto"/>
              <w:right w:val="nil"/>
            </w:tcBorders>
            <w:noWrap/>
            <w:tcMar>
              <w:top w:w="0" w:type="dxa"/>
              <w:bottom w:w="0" w:type="dxa"/>
            </w:tcMar>
            <w:vAlign w:val="bottom"/>
          </w:tcPr>
          <w:p w:rsidR="00CA38F4" w:rsidRPr="00FF391F" w:rsidRDefault="00CA38F4" w:rsidP="000160A2">
            <w:pPr>
              <w:pStyle w:val="Heading2"/>
              <w:jc w:val="center"/>
              <w:rPr>
                <w:i w:val="0"/>
              </w:rPr>
            </w:pPr>
            <w:r w:rsidRPr="00FF391F">
              <w:rPr>
                <w:i w:val="0"/>
              </w:rPr>
              <w:t>Date</w:t>
            </w:r>
          </w:p>
        </w:tc>
        <w:tc>
          <w:tcPr>
            <w:tcW w:w="5400" w:type="dxa"/>
            <w:tcBorders>
              <w:top w:val="nil"/>
              <w:left w:val="nil"/>
              <w:bottom w:val="nil"/>
              <w:right w:val="nil"/>
            </w:tcBorders>
            <w:noWrap/>
            <w:tcMar>
              <w:top w:w="0" w:type="dxa"/>
              <w:left w:w="0" w:type="dxa"/>
              <w:bottom w:w="0" w:type="dxa"/>
              <w:right w:w="0" w:type="dxa"/>
            </w:tcMar>
            <w:vAlign w:val="bottom"/>
          </w:tcPr>
          <w:p w:rsidR="00CA38F4" w:rsidRPr="00FF391F" w:rsidRDefault="00CA38F4" w:rsidP="00FF391F">
            <w:pPr>
              <w:ind w:firstLineChars="100" w:firstLine="200"/>
              <w:rPr>
                <w:sz w:val="20"/>
                <w:szCs w:val="20"/>
              </w:rPr>
            </w:pPr>
            <w:r w:rsidRPr="00FF391F">
              <w:rPr>
                <w:sz w:val="20"/>
                <w:szCs w:val="20"/>
              </w:rPr>
              <w:t>Topic</w:t>
            </w:r>
          </w:p>
        </w:tc>
        <w:tc>
          <w:tcPr>
            <w:tcW w:w="1260" w:type="dxa"/>
            <w:tcBorders>
              <w:top w:val="nil"/>
              <w:left w:val="nil"/>
              <w:bottom w:val="nil"/>
              <w:right w:val="nil"/>
            </w:tcBorders>
            <w:noWrap/>
            <w:tcMar>
              <w:top w:w="0" w:type="dxa"/>
              <w:bottom w:w="0" w:type="dxa"/>
            </w:tcMar>
            <w:vAlign w:val="bottom"/>
          </w:tcPr>
          <w:p w:rsidR="00CA38F4" w:rsidRPr="00FF391F" w:rsidRDefault="00CA38F4" w:rsidP="00F823EF">
            <w:pPr>
              <w:pStyle w:val="Heading3"/>
              <w:jc w:val="center"/>
              <w:rPr>
                <w:i w:val="0"/>
                <w:sz w:val="20"/>
              </w:rPr>
            </w:pPr>
            <w:r w:rsidRPr="00FF391F">
              <w:rPr>
                <w:i w:val="0"/>
                <w:sz w:val="20"/>
              </w:rPr>
              <w:t>Reading for Session</w:t>
            </w:r>
          </w:p>
        </w:tc>
        <w:tc>
          <w:tcPr>
            <w:tcW w:w="3330" w:type="dxa"/>
            <w:tcBorders>
              <w:top w:val="nil"/>
              <w:left w:val="nil"/>
              <w:bottom w:val="nil"/>
              <w:right w:val="nil"/>
            </w:tcBorders>
            <w:noWrap/>
            <w:tcMar>
              <w:top w:w="0" w:type="dxa"/>
              <w:left w:w="0" w:type="dxa"/>
              <w:bottom w:w="0" w:type="dxa"/>
              <w:right w:w="0" w:type="dxa"/>
            </w:tcMar>
            <w:vAlign w:val="bottom"/>
          </w:tcPr>
          <w:p w:rsidR="00CA38F4" w:rsidRPr="00FF391F" w:rsidRDefault="00CA38F4" w:rsidP="00E36F27">
            <w:pPr>
              <w:pStyle w:val="Heading2"/>
              <w:ind w:right="90"/>
              <w:jc w:val="center"/>
              <w:rPr>
                <w:i w:val="0"/>
              </w:rPr>
            </w:pPr>
            <w:r w:rsidRPr="00FF391F">
              <w:rPr>
                <w:i w:val="0"/>
              </w:rPr>
              <w:t>Homework to be done</w:t>
            </w:r>
            <w:r w:rsidRPr="00FF391F">
              <w:rPr>
                <w:b/>
                <w:i w:val="0"/>
              </w:rPr>
              <w:t xml:space="preserve"> before</w:t>
            </w:r>
            <w:r w:rsidRPr="00FF391F">
              <w:rPr>
                <w:i w:val="0"/>
              </w:rPr>
              <w:t xml:space="preserve"> this Session</w:t>
            </w:r>
          </w:p>
        </w:tc>
      </w:tr>
      <w:tr w:rsidR="00EA7A94" w:rsidRPr="00FF391F" w:rsidTr="00EA7A94">
        <w:trPr>
          <w:trHeight w:val="784"/>
        </w:trPr>
        <w:tc>
          <w:tcPr>
            <w:tcW w:w="72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EA7A94" w:rsidRPr="00FF391F" w:rsidRDefault="000A71CE" w:rsidP="00EA7A94">
            <w:pPr>
              <w:ind w:right="-18"/>
              <w:jc w:val="center"/>
              <w:rPr>
                <w:sz w:val="20"/>
                <w:szCs w:val="20"/>
              </w:rPr>
            </w:pPr>
            <w:r>
              <w:rPr>
                <w:sz w:val="20"/>
                <w:szCs w:val="20"/>
              </w:rPr>
              <w:t>1/10</w:t>
            </w:r>
          </w:p>
        </w:tc>
        <w:tc>
          <w:tcPr>
            <w:tcW w:w="5400" w:type="dxa"/>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rsidR="00EA7A94" w:rsidRDefault="00EA7A94" w:rsidP="00EA7A94">
            <w:pPr>
              <w:ind w:right="-90"/>
              <w:rPr>
                <w:sz w:val="20"/>
                <w:szCs w:val="20"/>
              </w:rPr>
            </w:pPr>
            <w:r w:rsidRPr="00FF391F">
              <w:rPr>
                <w:sz w:val="20"/>
                <w:szCs w:val="20"/>
              </w:rPr>
              <w:t xml:space="preserve">Introduction to Financial Statements  </w:t>
            </w:r>
          </w:p>
          <w:p w:rsidR="00EA7A94" w:rsidRPr="00FF391F" w:rsidRDefault="00EA7A94" w:rsidP="00EA7A94">
            <w:pPr>
              <w:ind w:right="-90"/>
              <w:rPr>
                <w:sz w:val="20"/>
                <w:szCs w:val="20"/>
              </w:rPr>
            </w:pPr>
            <w:r w:rsidRPr="00FF391F">
              <w:rPr>
                <w:sz w:val="20"/>
                <w:szCs w:val="20"/>
              </w:rPr>
              <w:t>A Further Look at Financial Statements</w:t>
            </w:r>
          </w:p>
        </w:tc>
        <w:tc>
          <w:tcPr>
            <w:tcW w:w="1260" w:type="dxa"/>
            <w:tcBorders>
              <w:top w:val="single" w:sz="4" w:space="0" w:color="auto"/>
              <w:left w:val="nil"/>
              <w:bottom w:val="single" w:sz="4" w:space="0" w:color="auto"/>
              <w:right w:val="single" w:sz="4" w:space="0" w:color="auto"/>
            </w:tcBorders>
            <w:noWrap/>
            <w:tcMar>
              <w:top w:w="43" w:type="dxa"/>
              <w:left w:w="14" w:type="dxa"/>
              <w:bottom w:w="43" w:type="dxa"/>
            </w:tcMar>
            <w:vAlign w:val="center"/>
          </w:tcPr>
          <w:p w:rsidR="00EA7A94" w:rsidRDefault="00EA7A94" w:rsidP="00EA7A94">
            <w:pPr>
              <w:ind w:left="76" w:hanging="90"/>
              <w:jc w:val="center"/>
              <w:rPr>
                <w:sz w:val="20"/>
                <w:szCs w:val="20"/>
              </w:rPr>
            </w:pPr>
            <w:r w:rsidRPr="00FF391F">
              <w:rPr>
                <w:sz w:val="20"/>
                <w:szCs w:val="20"/>
              </w:rPr>
              <w:t>CH 1</w:t>
            </w:r>
          </w:p>
          <w:p w:rsidR="00EA7A94" w:rsidRPr="00FF391F" w:rsidRDefault="00EA7A94" w:rsidP="00EA7A94">
            <w:pPr>
              <w:ind w:left="76" w:hanging="90"/>
              <w:jc w:val="center"/>
              <w:rPr>
                <w:sz w:val="20"/>
                <w:szCs w:val="20"/>
              </w:rPr>
            </w:pPr>
            <w:r w:rsidRPr="00FF391F">
              <w:rPr>
                <w:sz w:val="20"/>
                <w:szCs w:val="20"/>
              </w:rPr>
              <w:t>CH 2</w:t>
            </w:r>
          </w:p>
        </w:tc>
        <w:tc>
          <w:tcPr>
            <w:tcW w:w="333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EA7A94" w:rsidRDefault="00EA7A94" w:rsidP="00EA7A94">
            <w:pPr>
              <w:jc w:val="center"/>
              <w:rPr>
                <w:sz w:val="20"/>
                <w:szCs w:val="20"/>
              </w:rPr>
            </w:pPr>
            <w:r w:rsidRPr="00FF391F">
              <w:rPr>
                <w:sz w:val="20"/>
                <w:szCs w:val="20"/>
              </w:rPr>
              <w:t xml:space="preserve">Find the Disney Company’s Latest Annual Report </w:t>
            </w:r>
          </w:p>
          <w:p w:rsidR="00EA7A94" w:rsidRDefault="00EA7A94" w:rsidP="00EA7A94">
            <w:pPr>
              <w:jc w:val="center"/>
              <w:rPr>
                <w:sz w:val="20"/>
                <w:szCs w:val="20"/>
              </w:rPr>
            </w:pPr>
            <w:r w:rsidRPr="00FF391F">
              <w:rPr>
                <w:i/>
                <w:sz w:val="20"/>
                <w:szCs w:val="20"/>
              </w:rPr>
              <w:t>Do it!</w:t>
            </w:r>
            <w:r w:rsidRPr="00FF391F">
              <w:rPr>
                <w:sz w:val="20"/>
                <w:szCs w:val="20"/>
              </w:rPr>
              <w:t>1-3, E1-8, E1-10</w:t>
            </w:r>
          </w:p>
          <w:p w:rsidR="00EA7A94" w:rsidRPr="00FF391F" w:rsidRDefault="00EA7A94" w:rsidP="00EA7A94">
            <w:pPr>
              <w:jc w:val="center"/>
              <w:rPr>
                <w:sz w:val="20"/>
                <w:szCs w:val="20"/>
              </w:rPr>
            </w:pPr>
            <w:r w:rsidRPr="00EB27DB">
              <w:rPr>
                <w:rFonts w:ascii="Arial" w:hAnsi="Arial" w:cs="Arial"/>
                <w:i/>
                <w:sz w:val="18"/>
                <w:szCs w:val="18"/>
              </w:rPr>
              <w:t>Do it!</w:t>
            </w:r>
            <w:r>
              <w:rPr>
                <w:rFonts w:ascii="Arial" w:hAnsi="Arial" w:cs="Arial"/>
                <w:sz w:val="18"/>
                <w:szCs w:val="18"/>
              </w:rPr>
              <w:t xml:space="preserve">2-4 </w:t>
            </w:r>
            <w:r w:rsidRPr="00FF391F">
              <w:rPr>
                <w:sz w:val="20"/>
                <w:szCs w:val="20"/>
              </w:rPr>
              <w:t>E2-8, P2-3A</w:t>
            </w:r>
          </w:p>
        </w:tc>
      </w:tr>
      <w:tr w:rsidR="00EA7A94" w:rsidRPr="00FF391F" w:rsidTr="00B13228">
        <w:trPr>
          <w:trHeight w:val="245"/>
        </w:trPr>
        <w:tc>
          <w:tcPr>
            <w:tcW w:w="72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EA7A94" w:rsidRPr="00FF391F" w:rsidRDefault="000A71CE" w:rsidP="00EA7A94">
            <w:pPr>
              <w:ind w:right="-18"/>
              <w:jc w:val="center"/>
              <w:rPr>
                <w:sz w:val="20"/>
                <w:szCs w:val="20"/>
              </w:rPr>
            </w:pPr>
            <w:r>
              <w:rPr>
                <w:sz w:val="20"/>
                <w:szCs w:val="20"/>
              </w:rPr>
              <w:t>1/17</w:t>
            </w:r>
          </w:p>
        </w:tc>
        <w:tc>
          <w:tcPr>
            <w:tcW w:w="540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EA7A94" w:rsidRDefault="006721B5" w:rsidP="00EA7A94">
            <w:pPr>
              <w:ind w:right="-90"/>
              <w:rPr>
                <w:sz w:val="20"/>
                <w:szCs w:val="20"/>
              </w:rPr>
            </w:pPr>
            <w:r w:rsidRPr="00FF391F">
              <w:rPr>
                <w:sz w:val="20"/>
                <w:szCs w:val="20"/>
              </w:rPr>
              <w:t>The Accounting Information System</w:t>
            </w:r>
          </w:p>
          <w:p w:rsidR="006721B5" w:rsidRPr="00FF391F" w:rsidRDefault="006721B5" w:rsidP="00EA7A94">
            <w:pPr>
              <w:ind w:right="-90"/>
              <w:rPr>
                <w:sz w:val="20"/>
                <w:szCs w:val="20"/>
              </w:rPr>
            </w:pPr>
            <w:r w:rsidRPr="00FF391F">
              <w:rPr>
                <w:sz w:val="20"/>
                <w:szCs w:val="20"/>
              </w:rPr>
              <w:t>Accrual Accounting Concepts</w:t>
            </w:r>
          </w:p>
        </w:tc>
        <w:tc>
          <w:tcPr>
            <w:tcW w:w="1260" w:type="dxa"/>
            <w:tcBorders>
              <w:top w:val="nil"/>
              <w:left w:val="nil"/>
              <w:bottom w:val="single" w:sz="4" w:space="0" w:color="auto"/>
              <w:right w:val="single" w:sz="4" w:space="0" w:color="auto"/>
            </w:tcBorders>
            <w:tcMar>
              <w:top w:w="43" w:type="dxa"/>
              <w:left w:w="14" w:type="dxa"/>
              <w:bottom w:w="43" w:type="dxa"/>
            </w:tcMar>
            <w:vAlign w:val="center"/>
          </w:tcPr>
          <w:p w:rsidR="00EA7A94" w:rsidRDefault="006721B5" w:rsidP="00EA7A94">
            <w:pPr>
              <w:ind w:left="76" w:hanging="90"/>
              <w:jc w:val="center"/>
              <w:rPr>
                <w:sz w:val="20"/>
                <w:szCs w:val="20"/>
              </w:rPr>
            </w:pPr>
            <w:r w:rsidRPr="00FF391F">
              <w:rPr>
                <w:sz w:val="20"/>
                <w:szCs w:val="20"/>
              </w:rPr>
              <w:t>CH 3</w:t>
            </w:r>
          </w:p>
          <w:p w:rsidR="006721B5" w:rsidRPr="00FF391F" w:rsidRDefault="006721B5" w:rsidP="00EA7A94">
            <w:pPr>
              <w:ind w:left="76" w:hanging="90"/>
              <w:jc w:val="center"/>
              <w:rPr>
                <w:sz w:val="20"/>
                <w:szCs w:val="20"/>
              </w:rPr>
            </w:pPr>
            <w:r w:rsidRPr="00FF391F">
              <w:rPr>
                <w:sz w:val="20"/>
                <w:szCs w:val="20"/>
              </w:rPr>
              <w:t>CH 4</w:t>
            </w:r>
          </w:p>
        </w:tc>
        <w:tc>
          <w:tcPr>
            <w:tcW w:w="3330" w:type="dxa"/>
            <w:tcBorders>
              <w:top w:val="nil"/>
              <w:left w:val="nil"/>
              <w:bottom w:val="single" w:sz="4" w:space="0" w:color="auto"/>
              <w:right w:val="single" w:sz="4" w:space="0" w:color="auto"/>
            </w:tcBorders>
            <w:tcMar>
              <w:top w:w="0" w:type="dxa"/>
              <w:left w:w="0" w:type="dxa"/>
              <w:bottom w:w="0" w:type="dxa"/>
              <w:right w:w="0" w:type="dxa"/>
            </w:tcMar>
            <w:vAlign w:val="center"/>
          </w:tcPr>
          <w:p w:rsidR="00EA7A94" w:rsidRDefault="006721B5" w:rsidP="00EA7A94">
            <w:pPr>
              <w:jc w:val="center"/>
              <w:rPr>
                <w:sz w:val="20"/>
                <w:szCs w:val="20"/>
              </w:rPr>
            </w:pPr>
            <w:r w:rsidRPr="00FF391F">
              <w:rPr>
                <w:sz w:val="20"/>
                <w:szCs w:val="20"/>
              </w:rPr>
              <w:t>E3-2, E3-8, P3-4A, P3-5A</w:t>
            </w:r>
          </w:p>
          <w:p w:rsidR="006721B5" w:rsidRDefault="006721B5" w:rsidP="00EA7A94">
            <w:pPr>
              <w:jc w:val="center"/>
              <w:rPr>
                <w:sz w:val="20"/>
                <w:szCs w:val="20"/>
              </w:rPr>
            </w:pPr>
            <w:r w:rsidRPr="00FF391F">
              <w:rPr>
                <w:sz w:val="20"/>
                <w:szCs w:val="20"/>
              </w:rPr>
              <w:t>E4-6, E4-10, P4-2A</w:t>
            </w:r>
          </w:p>
          <w:p w:rsidR="00025EAB" w:rsidRPr="00FF391F" w:rsidRDefault="00025EAB" w:rsidP="00EA7A94">
            <w:pPr>
              <w:jc w:val="center"/>
              <w:rPr>
                <w:sz w:val="20"/>
                <w:szCs w:val="20"/>
              </w:rPr>
            </w:pPr>
            <w:r>
              <w:rPr>
                <w:sz w:val="20"/>
                <w:szCs w:val="20"/>
              </w:rPr>
              <w:t>Review Sample Financial Statements</w:t>
            </w:r>
          </w:p>
        </w:tc>
      </w:tr>
      <w:tr w:rsidR="00EA7A94" w:rsidRPr="00FF391F" w:rsidTr="00B13228">
        <w:trPr>
          <w:trHeight w:val="245"/>
        </w:trPr>
        <w:tc>
          <w:tcPr>
            <w:tcW w:w="72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EA7A94" w:rsidRPr="00FF391F" w:rsidRDefault="000A71CE" w:rsidP="00EA7A94">
            <w:pPr>
              <w:ind w:right="-18"/>
              <w:jc w:val="center"/>
              <w:rPr>
                <w:sz w:val="20"/>
                <w:szCs w:val="20"/>
              </w:rPr>
            </w:pPr>
            <w:r>
              <w:rPr>
                <w:sz w:val="20"/>
                <w:szCs w:val="20"/>
              </w:rPr>
              <w:t>1/24</w:t>
            </w:r>
          </w:p>
        </w:tc>
        <w:tc>
          <w:tcPr>
            <w:tcW w:w="540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EA7A94" w:rsidRDefault="00B94BA8" w:rsidP="00EA7A94">
            <w:pPr>
              <w:ind w:right="-90"/>
              <w:rPr>
                <w:sz w:val="20"/>
                <w:szCs w:val="20"/>
              </w:rPr>
            </w:pPr>
            <w:r w:rsidRPr="00FF391F">
              <w:rPr>
                <w:sz w:val="20"/>
                <w:szCs w:val="20"/>
              </w:rPr>
              <w:t>Merchandizing &amp; Multi-step Income Statements</w:t>
            </w:r>
          </w:p>
          <w:p w:rsidR="00FF10EC" w:rsidRPr="00FF391F" w:rsidRDefault="00FF10EC" w:rsidP="00EA7A94">
            <w:pPr>
              <w:ind w:right="-90"/>
              <w:rPr>
                <w:sz w:val="20"/>
                <w:szCs w:val="20"/>
              </w:rPr>
            </w:pPr>
            <w:r>
              <w:rPr>
                <w:sz w:val="20"/>
                <w:szCs w:val="20"/>
              </w:rPr>
              <w:t>Internal Control, Fraud &amp; Cash</w:t>
            </w:r>
          </w:p>
        </w:tc>
        <w:tc>
          <w:tcPr>
            <w:tcW w:w="1260" w:type="dxa"/>
            <w:tcBorders>
              <w:top w:val="nil"/>
              <w:left w:val="nil"/>
              <w:bottom w:val="single" w:sz="4" w:space="0" w:color="auto"/>
              <w:right w:val="single" w:sz="4" w:space="0" w:color="auto"/>
            </w:tcBorders>
            <w:tcMar>
              <w:top w:w="43" w:type="dxa"/>
              <w:left w:w="14" w:type="dxa"/>
              <w:bottom w:w="43" w:type="dxa"/>
            </w:tcMar>
            <w:vAlign w:val="center"/>
          </w:tcPr>
          <w:p w:rsidR="00EA7A94" w:rsidRDefault="00B94BA8" w:rsidP="00EA7A94">
            <w:pPr>
              <w:ind w:left="76" w:hanging="90"/>
              <w:jc w:val="center"/>
              <w:rPr>
                <w:sz w:val="20"/>
                <w:szCs w:val="20"/>
              </w:rPr>
            </w:pPr>
            <w:r w:rsidRPr="00FF391F">
              <w:rPr>
                <w:sz w:val="20"/>
                <w:szCs w:val="20"/>
              </w:rPr>
              <w:t>CH 5</w:t>
            </w:r>
          </w:p>
          <w:p w:rsidR="00FF10EC" w:rsidRPr="00FF391F" w:rsidRDefault="00FF10EC" w:rsidP="00FF10EC">
            <w:pPr>
              <w:ind w:left="76" w:hanging="90"/>
              <w:jc w:val="center"/>
              <w:rPr>
                <w:sz w:val="20"/>
                <w:szCs w:val="20"/>
              </w:rPr>
            </w:pPr>
            <w:r>
              <w:rPr>
                <w:sz w:val="20"/>
                <w:szCs w:val="20"/>
              </w:rPr>
              <w:t>CH 7</w:t>
            </w:r>
          </w:p>
        </w:tc>
        <w:tc>
          <w:tcPr>
            <w:tcW w:w="3330"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EA7A94" w:rsidRDefault="00B94BA8" w:rsidP="00EA7A94">
            <w:pPr>
              <w:jc w:val="center"/>
              <w:rPr>
                <w:sz w:val="20"/>
                <w:szCs w:val="20"/>
              </w:rPr>
            </w:pPr>
            <w:r w:rsidRPr="00612E60">
              <w:rPr>
                <w:sz w:val="20"/>
                <w:szCs w:val="20"/>
              </w:rPr>
              <w:t>E5-1, E5-3, E5-9, E5-10</w:t>
            </w:r>
          </w:p>
          <w:p w:rsidR="00FF10EC" w:rsidRPr="00FF391F" w:rsidRDefault="00FF10EC" w:rsidP="00EA7A94">
            <w:pPr>
              <w:jc w:val="center"/>
              <w:rPr>
                <w:sz w:val="20"/>
                <w:szCs w:val="20"/>
              </w:rPr>
            </w:pPr>
            <w:r w:rsidRPr="00FF391F">
              <w:rPr>
                <w:sz w:val="20"/>
                <w:szCs w:val="20"/>
              </w:rPr>
              <w:t>E7-3, E7-9(a), E7-14</w:t>
            </w:r>
          </w:p>
        </w:tc>
      </w:tr>
      <w:tr w:rsidR="00C71C10" w:rsidRPr="00FF391F" w:rsidTr="00B13228">
        <w:trPr>
          <w:trHeight w:val="245"/>
        </w:trPr>
        <w:tc>
          <w:tcPr>
            <w:tcW w:w="72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C71C10" w:rsidRPr="00FF391F" w:rsidRDefault="000A71CE" w:rsidP="00C71C10">
            <w:pPr>
              <w:ind w:right="-18"/>
              <w:jc w:val="center"/>
              <w:rPr>
                <w:sz w:val="20"/>
                <w:szCs w:val="20"/>
              </w:rPr>
            </w:pPr>
            <w:r>
              <w:rPr>
                <w:sz w:val="20"/>
                <w:szCs w:val="20"/>
              </w:rPr>
              <w:t>2/7</w:t>
            </w:r>
          </w:p>
        </w:tc>
        <w:tc>
          <w:tcPr>
            <w:tcW w:w="540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C71C10" w:rsidRDefault="00C71C10" w:rsidP="00C71C10">
            <w:pPr>
              <w:ind w:left="256" w:right="-90" w:hanging="256"/>
              <w:rPr>
                <w:sz w:val="20"/>
                <w:szCs w:val="20"/>
              </w:rPr>
            </w:pPr>
            <w:r w:rsidRPr="00FF391F">
              <w:rPr>
                <w:sz w:val="20"/>
                <w:szCs w:val="20"/>
              </w:rPr>
              <w:t>Receivables &amp; Provisions</w:t>
            </w:r>
          </w:p>
          <w:p w:rsidR="00141AAF" w:rsidRPr="00FF391F" w:rsidRDefault="00141AAF" w:rsidP="00141AAF">
            <w:pPr>
              <w:ind w:left="256" w:right="-90" w:hanging="256"/>
              <w:rPr>
                <w:sz w:val="20"/>
                <w:szCs w:val="20"/>
              </w:rPr>
            </w:pPr>
            <w:r w:rsidRPr="00FF391F">
              <w:rPr>
                <w:sz w:val="20"/>
                <w:szCs w:val="20"/>
              </w:rPr>
              <w:t>Long Lived Assets</w:t>
            </w:r>
          </w:p>
          <w:p w:rsidR="00141AAF" w:rsidRPr="00FF391F" w:rsidRDefault="00660D68" w:rsidP="00C71C10">
            <w:pPr>
              <w:ind w:left="256" w:right="-90" w:hanging="256"/>
              <w:rPr>
                <w:sz w:val="20"/>
                <w:szCs w:val="20"/>
              </w:rPr>
            </w:pPr>
            <w:r w:rsidRPr="00FF391F">
              <w:rPr>
                <w:sz w:val="20"/>
                <w:szCs w:val="20"/>
              </w:rPr>
              <w:t>Liabilities</w:t>
            </w:r>
          </w:p>
        </w:tc>
        <w:tc>
          <w:tcPr>
            <w:tcW w:w="1260" w:type="dxa"/>
            <w:tcBorders>
              <w:top w:val="nil"/>
              <w:left w:val="nil"/>
              <w:bottom w:val="single" w:sz="4" w:space="0" w:color="auto"/>
              <w:right w:val="single" w:sz="4" w:space="0" w:color="auto"/>
            </w:tcBorders>
            <w:tcMar>
              <w:top w:w="43" w:type="dxa"/>
              <w:left w:w="14" w:type="dxa"/>
              <w:bottom w:w="43" w:type="dxa"/>
            </w:tcMar>
            <w:vAlign w:val="center"/>
          </w:tcPr>
          <w:p w:rsidR="00C71C10" w:rsidRDefault="00C71C10" w:rsidP="00C71C10">
            <w:pPr>
              <w:ind w:left="76" w:hanging="90"/>
              <w:jc w:val="center"/>
              <w:rPr>
                <w:sz w:val="20"/>
                <w:szCs w:val="20"/>
              </w:rPr>
            </w:pPr>
            <w:r w:rsidRPr="00FF391F">
              <w:rPr>
                <w:sz w:val="20"/>
                <w:szCs w:val="20"/>
              </w:rPr>
              <w:t>CH 8</w:t>
            </w:r>
          </w:p>
          <w:p w:rsidR="00141AAF" w:rsidRDefault="00141AAF" w:rsidP="00C71C10">
            <w:pPr>
              <w:ind w:left="76" w:hanging="90"/>
              <w:jc w:val="center"/>
              <w:rPr>
                <w:sz w:val="20"/>
                <w:szCs w:val="20"/>
              </w:rPr>
            </w:pPr>
            <w:r w:rsidRPr="00FF391F">
              <w:rPr>
                <w:sz w:val="20"/>
                <w:szCs w:val="20"/>
              </w:rPr>
              <w:t>CH 9</w:t>
            </w:r>
          </w:p>
          <w:p w:rsidR="00660D68" w:rsidRPr="00FF391F" w:rsidRDefault="00660D68" w:rsidP="00C71C10">
            <w:pPr>
              <w:ind w:left="76" w:hanging="90"/>
              <w:jc w:val="center"/>
              <w:rPr>
                <w:sz w:val="20"/>
                <w:szCs w:val="20"/>
              </w:rPr>
            </w:pPr>
            <w:r w:rsidRPr="00FF391F">
              <w:rPr>
                <w:sz w:val="20"/>
                <w:szCs w:val="20"/>
              </w:rPr>
              <w:t>CH 10</w:t>
            </w:r>
          </w:p>
        </w:tc>
        <w:tc>
          <w:tcPr>
            <w:tcW w:w="3330"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C71C10" w:rsidRDefault="00C71C10" w:rsidP="00C71C10">
            <w:pPr>
              <w:jc w:val="center"/>
              <w:rPr>
                <w:sz w:val="20"/>
                <w:szCs w:val="20"/>
              </w:rPr>
            </w:pPr>
            <w:r w:rsidRPr="00B23C36">
              <w:rPr>
                <w:sz w:val="20"/>
                <w:szCs w:val="20"/>
              </w:rPr>
              <w:t>E8-3, E8-4, P8-5, P8-8A</w:t>
            </w:r>
          </w:p>
          <w:p w:rsidR="00141AAF" w:rsidRDefault="00141AAF" w:rsidP="00C71C10">
            <w:pPr>
              <w:jc w:val="center"/>
              <w:rPr>
                <w:rFonts w:ascii="Arial" w:hAnsi="Arial" w:cs="Arial"/>
                <w:sz w:val="18"/>
                <w:szCs w:val="18"/>
              </w:rPr>
            </w:pPr>
            <w:r>
              <w:rPr>
                <w:rFonts w:ascii="Arial" w:hAnsi="Arial" w:cs="Arial"/>
                <w:sz w:val="18"/>
                <w:szCs w:val="18"/>
              </w:rPr>
              <w:t>E9-3, E9-6, E9-8, P9-4A</w:t>
            </w:r>
          </w:p>
          <w:p w:rsidR="00660D68" w:rsidRPr="00FF391F" w:rsidRDefault="00660D68" w:rsidP="00660D68">
            <w:pPr>
              <w:jc w:val="center"/>
              <w:rPr>
                <w:sz w:val="20"/>
                <w:szCs w:val="20"/>
              </w:rPr>
            </w:pPr>
            <w:r w:rsidRPr="00FF391F">
              <w:rPr>
                <w:sz w:val="20"/>
                <w:szCs w:val="20"/>
              </w:rPr>
              <w:t>BE10-14, E10-19,</w:t>
            </w:r>
          </w:p>
          <w:p w:rsidR="00660D68" w:rsidRPr="00FF391F" w:rsidRDefault="00660D68" w:rsidP="00660D68">
            <w:pPr>
              <w:jc w:val="center"/>
              <w:rPr>
                <w:sz w:val="20"/>
                <w:szCs w:val="20"/>
              </w:rPr>
            </w:pPr>
            <w:r w:rsidRPr="00FF391F">
              <w:rPr>
                <w:sz w:val="20"/>
                <w:szCs w:val="20"/>
              </w:rPr>
              <w:t>P10-6A, BYP 10-5</w:t>
            </w:r>
          </w:p>
        </w:tc>
      </w:tr>
      <w:tr w:rsidR="00C71C10" w:rsidRPr="00FF391F" w:rsidTr="00B13228">
        <w:trPr>
          <w:trHeight w:val="245"/>
        </w:trPr>
        <w:tc>
          <w:tcPr>
            <w:tcW w:w="72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C71C10" w:rsidRPr="00FF391F" w:rsidRDefault="000A71CE" w:rsidP="00C71C10">
            <w:pPr>
              <w:ind w:right="-18"/>
              <w:jc w:val="center"/>
              <w:rPr>
                <w:sz w:val="20"/>
                <w:szCs w:val="20"/>
              </w:rPr>
            </w:pPr>
            <w:r>
              <w:rPr>
                <w:sz w:val="20"/>
                <w:szCs w:val="20"/>
              </w:rPr>
              <w:t>2/14</w:t>
            </w:r>
          </w:p>
        </w:tc>
        <w:tc>
          <w:tcPr>
            <w:tcW w:w="540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C71C10" w:rsidRDefault="00686FA5" w:rsidP="00C71C10">
            <w:pPr>
              <w:ind w:right="-90"/>
              <w:rPr>
                <w:sz w:val="20"/>
                <w:szCs w:val="20"/>
              </w:rPr>
            </w:pPr>
            <w:r w:rsidRPr="00FF391F">
              <w:rPr>
                <w:sz w:val="20"/>
                <w:szCs w:val="20"/>
              </w:rPr>
              <w:t>Owner’s Equity</w:t>
            </w:r>
          </w:p>
          <w:p w:rsidR="00C64185" w:rsidRDefault="00C64185" w:rsidP="00C71C10">
            <w:pPr>
              <w:ind w:right="-90"/>
              <w:rPr>
                <w:sz w:val="20"/>
                <w:szCs w:val="20"/>
              </w:rPr>
            </w:pPr>
            <w:r w:rsidRPr="00FF391F">
              <w:rPr>
                <w:sz w:val="20"/>
                <w:szCs w:val="20"/>
              </w:rPr>
              <w:t>Statement of Cash Flows</w:t>
            </w:r>
          </w:p>
          <w:p w:rsidR="00732E94" w:rsidRPr="00FF391F" w:rsidRDefault="00732E94" w:rsidP="00C71C10">
            <w:pPr>
              <w:ind w:right="-90"/>
              <w:rPr>
                <w:b/>
                <w:sz w:val="20"/>
                <w:szCs w:val="20"/>
              </w:rPr>
            </w:pPr>
            <w:r w:rsidRPr="00FF391F">
              <w:rPr>
                <w:sz w:val="20"/>
                <w:szCs w:val="20"/>
              </w:rPr>
              <w:t>Financial Analysis: The Big Picture</w:t>
            </w:r>
          </w:p>
        </w:tc>
        <w:tc>
          <w:tcPr>
            <w:tcW w:w="1260" w:type="dxa"/>
            <w:tcBorders>
              <w:top w:val="nil"/>
              <w:left w:val="nil"/>
              <w:bottom w:val="single" w:sz="4" w:space="0" w:color="auto"/>
              <w:right w:val="single" w:sz="4" w:space="0" w:color="auto"/>
            </w:tcBorders>
            <w:tcMar>
              <w:top w:w="43" w:type="dxa"/>
              <w:left w:w="14" w:type="dxa"/>
              <w:bottom w:w="43" w:type="dxa"/>
            </w:tcMar>
            <w:vAlign w:val="center"/>
          </w:tcPr>
          <w:p w:rsidR="00C71C10" w:rsidRDefault="00686FA5" w:rsidP="00C71C10">
            <w:pPr>
              <w:ind w:left="76" w:hanging="90"/>
              <w:jc w:val="center"/>
              <w:rPr>
                <w:sz w:val="20"/>
                <w:szCs w:val="20"/>
              </w:rPr>
            </w:pPr>
            <w:r w:rsidRPr="00FF391F">
              <w:rPr>
                <w:sz w:val="20"/>
                <w:szCs w:val="20"/>
              </w:rPr>
              <w:t>CH 11</w:t>
            </w:r>
          </w:p>
          <w:p w:rsidR="00C64185" w:rsidRDefault="00C64185" w:rsidP="00C71C10">
            <w:pPr>
              <w:ind w:left="76" w:hanging="90"/>
              <w:jc w:val="center"/>
              <w:rPr>
                <w:sz w:val="20"/>
                <w:szCs w:val="20"/>
              </w:rPr>
            </w:pPr>
            <w:r w:rsidRPr="00FF391F">
              <w:rPr>
                <w:sz w:val="20"/>
                <w:szCs w:val="20"/>
              </w:rPr>
              <w:t>CH 12</w:t>
            </w:r>
          </w:p>
          <w:p w:rsidR="00732E94" w:rsidRPr="00FF391F" w:rsidRDefault="00732E94" w:rsidP="00C71C10">
            <w:pPr>
              <w:ind w:left="76" w:hanging="90"/>
              <w:jc w:val="center"/>
              <w:rPr>
                <w:sz w:val="20"/>
                <w:szCs w:val="20"/>
              </w:rPr>
            </w:pPr>
            <w:r w:rsidRPr="00FF391F">
              <w:rPr>
                <w:sz w:val="20"/>
                <w:szCs w:val="20"/>
              </w:rPr>
              <w:t>CH 13</w:t>
            </w:r>
          </w:p>
        </w:tc>
        <w:tc>
          <w:tcPr>
            <w:tcW w:w="3330"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C71C10" w:rsidRDefault="00686FA5" w:rsidP="00C71C10">
            <w:pPr>
              <w:jc w:val="center"/>
              <w:rPr>
                <w:rFonts w:ascii="Arial" w:hAnsi="Arial" w:cs="Arial"/>
                <w:sz w:val="18"/>
                <w:szCs w:val="18"/>
              </w:rPr>
            </w:pPr>
            <w:r>
              <w:rPr>
                <w:rFonts w:ascii="Arial" w:hAnsi="Arial" w:cs="Arial"/>
                <w:sz w:val="18"/>
                <w:szCs w:val="18"/>
              </w:rPr>
              <w:t>E11-2, E11-14, P11-3A, P11-8A</w:t>
            </w:r>
          </w:p>
          <w:p w:rsidR="00C64185" w:rsidRDefault="00C64185" w:rsidP="00C71C10">
            <w:pPr>
              <w:jc w:val="center"/>
              <w:rPr>
                <w:sz w:val="20"/>
                <w:szCs w:val="20"/>
              </w:rPr>
            </w:pPr>
            <w:r w:rsidRPr="00FF391F">
              <w:rPr>
                <w:sz w:val="20"/>
                <w:szCs w:val="20"/>
              </w:rPr>
              <w:t>E12-5, P12-3A, P12-7A, P12-11A</w:t>
            </w:r>
          </w:p>
          <w:p w:rsidR="00732E94" w:rsidRPr="00FF391F" w:rsidRDefault="00732E94" w:rsidP="00C71C10">
            <w:pPr>
              <w:jc w:val="center"/>
              <w:rPr>
                <w:sz w:val="20"/>
                <w:szCs w:val="20"/>
              </w:rPr>
            </w:pPr>
            <w:r w:rsidRPr="00FF391F">
              <w:rPr>
                <w:sz w:val="20"/>
                <w:szCs w:val="20"/>
              </w:rPr>
              <w:t>E13-2, P13-5A, BYP13-7</w:t>
            </w:r>
          </w:p>
        </w:tc>
      </w:tr>
      <w:tr w:rsidR="00C71C10" w:rsidRPr="00FF391F" w:rsidTr="00B13228">
        <w:trPr>
          <w:trHeight w:val="245"/>
        </w:trPr>
        <w:tc>
          <w:tcPr>
            <w:tcW w:w="72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C71C10" w:rsidRPr="00FF391F" w:rsidRDefault="000A71CE" w:rsidP="00C71C10">
            <w:pPr>
              <w:ind w:right="-18"/>
              <w:jc w:val="center"/>
              <w:rPr>
                <w:sz w:val="20"/>
                <w:szCs w:val="20"/>
              </w:rPr>
            </w:pPr>
            <w:r>
              <w:rPr>
                <w:sz w:val="20"/>
                <w:szCs w:val="20"/>
              </w:rPr>
              <w:t>2/21</w:t>
            </w:r>
          </w:p>
        </w:tc>
        <w:tc>
          <w:tcPr>
            <w:tcW w:w="540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C71C10" w:rsidRDefault="001C52EB" w:rsidP="00C71C10">
            <w:pPr>
              <w:ind w:left="256" w:right="-90" w:hanging="256"/>
              <w:rPr>
                <w:sz w:val="20"/>
                <w:szCs w:val="20"/>
              </w:rPr>
            </w:pPr>
            <w:r>
              <w:rPr>
                <w:sz w:val="20"/>
                <w:szCs w:val="20"/>
              </w:rPr>
              <w:t>Mid Term Exam (In Class)</w:t>
            </w:r>
          </w:p>
          <w:p w:rsidR="001C52EB" w:rsidRPr="00FF391F" w:rsidRDefault="001C52EB" w:rsidP="00C71C10">
            <w:pPr>
              <w:ind w:left="256" w:right="-90" w:hanging="256"/>
              <w:rPr>
                <w:sz w:val="20"/>
                <w:szCs w:val="20"/>
              </w:rPr>
            </w:pPr>
            <w:r>
              <w:rPr>
                <w:sz w:val="20"/>
                <w:szCs w:val="20"/>
              </w:rPr>
              <w:t>Accounting For Law Firms</w:t>
            </w:r>
          </w:p>
        </w:tc>
        <w:tc>
          <w:tcPr>
            <w:tcW w:w="1260" w:type="dxa"/>
            <w:tcBorders>
              <w:top w:val="nil"/>
              <w:left w:val="nil"/>
              <w:bottom w:val="single" w:sz="4" w:space="0" w:color="auto"/>
              <w:right w:val="single" w:sz="4" w:space="0" w:color="auto"/>
            </w:tcBorders>
            <w:tcMar>
              <w:top w:w="43" w:type="dxa"/>
              <w:left w:w="14" w:type="dxa"/>
              <w:bottom w:w="43" w:type="dxa"/>
            </w:tcMar>
            <w:vAlign w:val="center"/>
          </w:tcPr>
          <w:p w:rsidR="00C71C10" w:rsidRPr="00FF391F" w:rsidRDefault="001C52EB" w:rsidP="00C71C10">
            <w:pPr>
              <w:ind w:left="76" w:hanging="90"/>
              <w:jc w:val="center"/>
              <w:rPr>
                <w:sz w:val="20"/>
                <w:szCs w:val="20"/>
              </w:rPr>
            </w:pPr>
            <w:r>
              <w:rPr>
                <w:sz w:val="20"/>
                <w:szCs w:val="20"/>
              </w:rPr>
              <w:t>None</w:t>
            </w:r>
          </w:p>
        </w:tc>
        <w:tc>
          <w:tcPr>
            <w:tcW w:w="3330" w:type="dxa"/>
            <w:tcBorders>
              <w:top w:val="nil"/>
              <w:left w:val="nil"/>
              <w:bottom w:val="single" w:sz="4" w:space="0" w:color="auto"/>
              <w:right w:val="single" w:sz="4" w:space="0" w:color="auto"/>
            </w:tcBorders>
            <w:tcMar>
              <w:top w:w="0" w:type="dxa"/>
              <w:left w:w="0" w:type="dxa"/>
              <w:bottom w:w="0" w:type="dxa"/>
              <w:right w:w="0" w:type="dxa"/>
            </w:tcMar>
            <w:vAlign w:val="center"/>
          </w:tcPr>
          <w:p w:rsidR="00C71C10" w:rsidRDefault="001C52EB" w:rsidP="00C71C10">
            <w:pPr>
              <w:jc w:val="center"/>
              <w:rPr>
                <w:sz w:val="20"/>
                <w:szCs w:val="20"/>
              </w:rPr>
            </w:pPr>
            <w:r>
              <w:rPr>
                <w:sz w:val="20"/>
                <w:szCs w:val="20"/>
              </w:rPr>
              <w:t>None</w:t>
            </w:r>
          </w:p>
          <w:p w:rsidR="006039DD" w:rsidRPr="00FF391F" w:rsidRDefault="006039DD" w:rsidP="00C71C10">
            <w:pPr>
              <w:jc w:val="center"/>
              <w:rPr>
                <w:sz w:val="20"/>
                <w:szCs w:val="20"/>
              </w:rPr>
            </w:pPr>
            <w:r>
              <w:rPr>
                <w:sz w:val="20"/>
                <w:szCs w:val="20"/>
              </w:rPr>
              <w:t xml:space="preserve"> Readings</w:t>
            </w:r>
          </w:p>
        </w:tc>
      </w:tr>
      <w:tr w:rsidR="00C71C10" w:rsidRPr="00FF391F" w:rsidTr="00B13228">
        <w:trPr>
          <w:trHeight w:val="245"/>
        </w:trPr>
        <w:tc>
          <w:tcPr>
            <w:tcW w:w="72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C71C10" w:rsidRPr="00FF391F" w:rsidRDefault="000A71CE" w:rsidP="00C71C10">
            <w:pPr>
              <w:ind w:right="-18"/>
              <w:jc w:val="center"/>
              <w:rPr>
                <w:sz w:val="20"/>
                <w:szCs w:val="20"/>
              </w:rPr>
            </w:pPr>
            <w:r>
              <w:rPr>
                <w:sz w:val="20"/>
                <w:szCs w:val="20"/>
              </w:rPr>
              <w:t>2/28</w:t>
            </w:r>
          </w:p>
        </w:tc>
        <w:tc>
          <w:tcPr>
            <w:tcW w:w="540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C71C10" w:rsidRDefault="00025EAB" w:rsidP="00C71C10">
            <w:pPr>
              <w:ind w:left="256" w:right="-90" w:hanging="256"/>
              <w:rPr>
                <w:sz w:val="20"/>
                <w:szCs w:val="20"/>
              </w:rPr>
            </w:pPr>
            <w:r>
              <w:rPr>
                <w:sz w:val="20"/>
                <w:szCs w:val="20"/>
              </w:rPr>
              <w:t>Inventory</w:t>
            </w:r>
          </w:p>
          <w:p w:rsidR="00025EAB" w:rsidRDefault="00025EAB" w:rsidP="00C71C10">
            <w:pPr>
              <w:ind w:left="256" w:right="-90" w:hanging="256"/>
              <w:rPr>
                <w:sz w:val="20"/>
                <w:szCs w:val="20"/>
              </w:rPr>
            </w:pPr>
            <w:r>
              <w:rPr>
                <w:sz w:val="20"/>
                <w:szCs w:val="20"/>
              </w:rPr>
              <w:t>Accounting For Income Taxes</w:t>
            </w:r>
          </w:p>
          <w:p w:rsidR="00BD3C15" w:rsidRDefault="00BD3C15" w:rsidP="00C71C10">
            <w:pPr>
              <w:ind w:left="256" w:right="-90" w:hanging="256"/>
              <w:rPr>
                <w:sz w:val="20"/>
                <w:szCs w:val="20"/>
              </w:rPr>
            </w:pPr>
            <w:r>
              <w:rPr>
                <w:sz w:val="20"/>
                <w:szCs w:val="20"/>
              </w:rPr>
              <w:t>Review Mid-term</w:t>
            </w:r>
          </w:p>
          <w:p w:rsidR="00BD3C15" w:rsidRPr="00FF391F" w:rsidRDefault="00BD3C15" w:rsidP="00C71C10">
            <w:pPr>
              <w:ind w:left="256" w:right="-90" w:hanging="256"/>
              <w:rPr>
                <w:sz w:val="20"/>
                <w:szCs w:val="20"/>
              </w:rPr>
            </w:pPr>
            <w:r>
              <w:rPr>
                <w:sz w:val="20"/>
                <w:szCs w:val="20"/>
              </w:rPr>
              <w:t>Finish Accounting For Lawyers</w:t>
            </w:r>
          </w:p>
        </w:tc>
        <w:tc>
          <w:tcPr>
            <w:tcW w:w="1260" w:type="dxa"/>
            <w:tcBorders>
              <w:top w:val="nil"/>
              <w:left w:val="nil"/>
              <w:bottom w:val="single" w:sz="4" w:space="0" w:color="auto"/>
              <w:right w:val="single" w:sz="4" w:space="0" w:color="auto"/>
            </w:tcBorders>
            <w:tcMar>
              <w:top w:w="43" w:type="dxa"/>
              <w:left w:w="14" w:type="dxa"/>
              <w:bottom w:w="43" w:type="dxa"/>
            </w:tcMar>
            <w:vAlign w:val="center"/>
          </w:tcPr>
          <w:p w:rsidR="00C71C10" w:rsidRDefault="00025EAB" w:rsidP="00C71C10">
            <w:pPr>
              <w:ind w:left="76" w:hanging="90"/>
              <w:jc w:val="center"/>
              <w:rPr>
                <w:sz w:val="20"/>
                <w:szCs w:val="20"/>
              </w:rPr>
            </w:pPr>
            <w:r>
              <w:rPr>
                <w:sz w:val="20"/>
                <w:szCs w:val="20"/>
              </w:rPr>
              <w:t>CH 6</w:t>
            </w:r>
          </w:p>
          <w:p w:rsidR="00025EAB" w:rsidRPr="00FF391F" w:rsidRDefault="00025EAB" w:rsidP="00C71C10">
            <w:pPr>
              <w:ind w:left="76" w:hanging="90"/>
              <w:jc w:val="center"/>
              <w:rPr>
                <w:sz w:val="20"/>
                <w:szCs w:val="20"/>
              </w:rPr>
            </w:pPr>
            <w:r>
              <w:rPr>
                <w:sz w:val="20"/>
                <w:szCs w:val="20"/>
              </w:rPr>
              <w:t>None</w:t>
            </w:r>
          </w:p>
        </w:tc>
        <w:tc>
          <w:tcPr>
            <w:tcW w:w="3330" w:type="dxa"/>
            <w:tcBorders>
              <w:top w:val="nil"/>
              <w:left w:val="nil"/>
              <w:bottom w:val="single" w:sz="4" w:space="0" w:color="auto"/>
              <w:right w:val="single" w:sz="4" w:space="0" w:color="auto"/>
            </w:tcBorders>
            <w:tcMar>
              <w:top w:w="0" w:type="dxa"/>
              <w:left w:w="0" w:type="dxa"/>
              <w:bottom w:w="0" w:type="dxa"/>
              <w:right w:w="0" w:type="dxa"/>
            </w:tcMar>
            <w:vAlign w:val="center"/>
          </w:tcPr>
          <w:p w:rsidR="00C71C10" w:rsidRDefault="00074C29" w:rsidP="00C71C10">
            <w:pPr>
              <w:jc w:val="center"/>
              <w:rPr>
                <w:sz w:val="20"/>
                <w:szCs w:val="20"/>
              </w:rPr>
            </w:pPr>
            <w:r>
              <w:rPr>
                <w:sz w:val="20"/>
                <w:szCs w:val="20"/>
              </w:rPr>
              <w:t xml:space="preserve"> Readings &amp; Deloitte PDF</w:t>
            </w:r>
          </w:p>
          <w:p w:rsidR="001A49DE" w:rsidRPr="00FF391F" w:rsidRDefault="001A49DE" w:rsidP="00C71C10">
            <w:pPr>
              <w:jc w:val="center"/>
              <w:rPr>
                <w:sz w:val="20"/>
                <w:szCs w:val="20"/>
              </w:rPr>
            </w:pPr>
            <w:r>
              <w:rPr>
                <w:sz w:val="20"/>
                <w:szCs w:val="20"/>
              </w:rPr>
              <w:t>Accounting For Income taxes PDF</w:t>
            </w:r>
          </w:p>
        </w:tc>
      </w:tr>
      <w:tr w:rsidR="00C71C10" w:rsidRPr="00FF391F" w:rsidTr="00B13228">
        <w:trPr>
          <w:trHeight w:val="216"/>
        </w:trPr>
        <w:tc>
          <w:tcPr>
            <w:tcW w:w="720"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rsidR="00C71C10" w:rsidRPr="00FF391F" w:rsidRDefault="000A71CE" w:rsidP="00C71C10">
            <w:pPr>
              <w:ind w:right="-18"/>
              <w:jc w:val="center"/>
              <w:rPr>
                <w:sz w:val="20"/>
                <w:szCs w:val="20"/>
              </w:rPr>
            </w:pPr>
            <w:r>
              <w:rPr>
                <w:sz w:val="20"/>
                <w:szCs w:val="20"/>
              </w:rPr>
              <w:t>3/7</w:t>
            </w:r>
          </w:p>
        </w:tc>
        <w:tc>
          <w:tcPr>
            <w:tcW w:w="5400" w:type="dxa"/>
            <w:tcBorders>
              <w:top w:val="nil"/>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rsidR="00C71C10" w:rsidRPr="00FF391F" w:rsidRDefault="00594BF0" w:rsidP="00C71C10">
            <w:pPr>
              <w:ind w:left="256" w:right="-90" w:hanging="256"/>
              <w:rPr>
                <w:sz w:val="20"/>
                <w:szCs w:val="20"/>
              </w:rPr>
            </w:pPr>
            <w:r>
              <w:rPr>
                <w:sz w:val="20"/>
                <w:szCs w:val="20"/>
              </w:rPr>
              <w:t>Damages</w:t>
            </w:r>
          </w:p>
        </w:tc>
        <w:tc>
          <w:tcPr>
            <w:tcW w:w="1260" w:type="dxa"/>
            <w:tcBorders>
              <w:top w:val="nil"/>
              <w:left w:val="nil"/>
              <w:bottom w:val="single" w:sz="4" w:space="0" w:color="auto"/>
              <w:right w:val="single" w:sz="4" w:space="0" w:color="auto"/>
            </w:tcBorders>
            <w:shd w:val="clear" w:color="auto" w:fill="auto"/>
            <w:tcMar>
              <w:top w:w="43" w:type="dxa"/>
              <w:left w:w="14" w:type="dxa"/>
              <w:bottom w:w="43" w:type="dxa"/>
            </w:tcMar>
            <w:vAlign w:val="center"/>
          </w:tcPr>
          <w:p w:rsidR="00C71C10" w:rsidRPr="00FF391F" w:rsidRDefault="00C71C10" w:rsidP="00C71C10">
            <w:pPr>
              <w:ind w:left="76" w:hanging="90"/>
              <w:jc w:val="center"/>
              <w:rPr>
                <w:sz w:val="20"/>
                <w:szCs w:val="20"/>
              </w:rPr>
            </w:pPr>
          </w:p>
        </w:tc>
        <w:tc>
          <w:tcPr>
            <w:tcW w:w="3330"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rsidR="00C71C10" w:rsidRPr="00FF391F" w:rsidRDefault="00594BF0" w:rsidP="00C71C10">
            <w:pPr>
              <w:jc w:val="center"/>
              <w:rPr>
                <w:sz w:val="20"/>
                <w:szCs w:val="20"/>
              </w:rPr>
            </w:pPr>
            <w:r>
              <w:rPr>
                <w:sz w:val="20"/>
                <w:szCs w:val="20"/>
              </w:rPr>
              <w:t>Readings and Sample Report</w:t>
            </w:r>
          </w:p>
        </w:tc>
      </w:tr>
      <w:tr w:rsidR="000A71CE" w:rsidRPr="00FF391F" w:rsidTr="00B13228">
        <w:trPr>
          <w:trHeight w:val="245"/>
        </w:trPr>
        <w:tc>
          <w:tcPr>
            <w:tcW w:w="720"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rsidR="000A71CE" w:rsidRPr="00FF391F" w:rsidRDefault="000A71CE" w:rsidP="00C71C10">
            <w:pPr>
              <w:ind w:right="-18"/>
              <w:jc w:val="center"/>
              <w:rPr>
                <w:sz w:val="20"/>
                <w:szCs w:val="20"/>
              </w:rPr>
            </w:pPr>
            <w:r>
              <w:rPr>
                <w:sz w:val="20"/>
                <w:szCs w:val="20"/>
              </w:rPr>
              <w:t>3/14</w:t>
            </w:r>
          </w:p>
        </w:tc>
        <w:tc>
          <w:tcPr>
            <w:tcW w:w="5400" w:type="dxa"/>
            <w:tcBorders>
              <w:top w:val="single" w:sz="4" w:space="0" w:color="auto"/>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rsidR="000A71CE" w:rsidRPr="000A71CE" w:rsidRDefault="000A71CE" w:rsidP="00C71C10">
            <w:pPr>
              <w:ind w:left="256" w:right="-90" w:hanging="256"/>
              <w:rPr>
                <w:b/>
                <w:sz w:val="20"/>
                <w:szCs w:val="20"/>
              </w:rPr>
            </w:pPr>
            <w:r w:rsidRPr="000A71CE">
              <w:rPr>
                <w:b/>
                <w:sz w:val="20"/>
                <w:szCs w:val="20"/>
              </w:rPr>
              <w:t>Spring Break</w:t>
            </w:r>
          </w:p>
        </w:tc>
        <w:tc>
          <w:tcPr>
            <w:tcW w:w="1260" w:type="dxa"/>
            <w:tcBorders>
              <w:top w:val="single" w:sz="4" w:space="0" w:color="auto"/>
              <w:left w:val="nil"/>
              <w:bottom w:val="single" w:sz="4" w:space="0" w:color="auto"/>
              <w:right w:val="single" w:sz="4" w:space="0" w:color="auto"/>
            </w:tcBorders>
            <w:shd w:val="clear" w:color="auto" w:fill="auto"/>
            <w:tcMar>
              <w:top w:w="43" w:type="dxa"/>
              <w:left w:w="14" w:type="dxa"/>
              <w:bottom w:w="43" w:type="dxa"/>
            </w:tcMar>
            <w:vAlign w:val="center"/>
          </w:tcPr>
          <w:p w:rsidR="000A71CE" w:rsidRPr="00FF391F" w:rsidRDefault="000A71CE" w:rsidP="00C71C10">
            <w:pPr>
              <w:ind w:left="76" w:hanging="90"/>
              <w:jc w:val="center"/>
              <w:rPr>
                <w:sz w:val="20"/>
                <w:szCs w:val="20"/>
              </w:rPr>
            </w:pPr>
          </w:p>
        </w:tc>
        <w:tc>
          <w:tcPr>
            <w:tcW w:w="333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rsidR="000A71CE" w:rsidRDefault="000A71CE" w:rsidP="00C71C10">
            <w:pPr>
              <w:jc w:val="center"/>
              <w:rPr>
                <w:sz w:val="20"/>
                <w:szCs w:val="20"/>
              </w:rPr>
            </w:pPr>
          </w:p>
        </w:tc>
      </w:tr>
      <w:tr w:rsidR="00C71C10" w:rsidRPr="00FF391F" w:rsidTr="00B13228">
        <w:trPr>
          <w:trHeight w:val="245"/>
        </w:trPr>
        <w:tc>
          <w:tcPr>
            <w:tcW w:w="720"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rsidR="00C71C10" w:rsidRPr="00FF391F" w:rsidRDefault="000A71CE" w:rsidP="00C71C10">
            <w:pPr>
              <w:ind w:right="-18"/>
              <w:jc w:val="center"/>
              <w:rPr>
                <w:sz w:val="20"/>
                <w:szCs w:val="20"/>
              </w:rPr>
            </w:pPr>
            <w:r>
              <w:rPr>
                <w:sz w:val="20"/>
                <w:szCs w:val="20"/>
              </w:rPr>
              <w:t>3/21</w:t>
            </w:r>
          </w:p>
        </w:tc>
        <w:tc>
          <w:tcPr>
            <w:tcW w:w="5400" w:type="dxa"/>
            <w:tcBorders>
              <w:top w:val="single" w:sz="4" w:space="0" w:color="auto"/>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rsidR="00C71C10" w:rsidRPr="00594BF0" w:rsidRDefault="00594BF0" w:rsidP="00C71C10">
            <w:pPr>
              <w:ind w:left="256" w:right="-90" w:hanging="256"/>
              <w:rPr>
                <w:sz w:val="20"/>
                <w:szCs w:val="20"/>
              </w:rPr>
            </w:pPr>
            <w:r w:rsidRPr="00594BF0">
              <w:rPr>
                <w:sz w:val="20"/>
                <w:szCs w:val="20"/>
              </w:rPr>
              <w:t>Business Valuation</w:t>
            </w:r>
          </w:p>
        </w:tc>
        <w:tc>
          <w:tcPr>
            <w:tcW w:w="1260" w:type="dxa"/>
            <w:tcBorders>
              <w:top w:val="single" w:sz="4" w:space="0" w:color="auto"/>
              <w:left w:val="nil"/>
              <w:bottom w:val="single" w:sz="4" w:space="0" w:color="auto"/>
              <w:right w:val="single" w:sz="4" w:space="0" w:color="auto"/>
            </w:tcBorders>
            <w:shd w:val="clear" w:color="auto" w:fill="auto"/>
            <w:tcMar>
              <w:top w:w="43" w:type="dxa"/>
              <w:left w:w="14" w:type="dxa"/>
              <w:bottom w:w="43" w:type="dxa"/>
            </w:tcMar>
            <w:vAlign w:val="center"/>
          </w:tcPr>
          <w:p w:rsidR="00C71C10" w:rsidRPr="00FF391F" w:rsidRDefault="00C71C10" w:rsidP="00C71C10">
            <w:pPr>
              <w:ind w:left="76" w:hanging="90"/>
              <w:jc w:val="center"/>
              <w:rPr>
                <w:sz w:val="20"/>
                <w:szCs w:val="20"/>
              </w:rPr>
            </w:pPr>
          </w:p>
        </w:tc>
        <w:tc>
          <w:tcPr>
            <w:tcW w:w="333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rsidR="00C71C10" w:rsidRPr="00FF391F" w:rsidRDefault="00594BF0" w:rsidP="00C71C10">
            <w:pPr>
              <w:jc w:val="center"/>
              <w:rPr>
                <w:sz w:val="20"/>
                <w:szCs w:val="20"/>
              </w:rPr>
            </w:pPr>
            <w:r>
              <w:rPr>
                <w:sz w:val="20"/>
                <w:szCs w:val="20"/>
              </w:rPr>
              <w:t>Readings and Sample Report</w:t>
            </w:r>
          </w:p>
        </w:tc>
      </w:tr>
      <w:tr w:rsidR="00C71C10" w:rsidRPr="00FF391F" w:rsidTr="00B13228">
        <w:trPr>
          <w:trHeight w:val="245"/>
        </w:trPr>
        <w:tc>
          <w:tcPr>
            <w:tcW w:w="720"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rsidR="00C71C10" w:rsidRPr="00FF391F" w:rsidRDefault="000A71CE" w:rsidP="00C71C10">
            <w:pPr>
              <w:ind w:right="-18"/>
              <w:jc w:val="center"/>
              <w:rPr>
                <w:sz w:val="20"/>
                <w:szCs w:val="20"/>
              </w:rPr>
            </w:pPr>
            <w:r>
              <w:rPr>
                <w:sz w:val="20"/>
                <w:szCs w:val="20"/>
              </w:rPr>
              <w:t>3/28</w:t>
            </w:r>
          </w:p>
        </w:tc>
        <w:tc>
          <w:tcPr>
            <w:tcW w:w="5400" w:type="dxa"/>
            <w:tcBorders>
              <w:top w:val="single" w:sz="4" w:space="0" w:color="auto"/>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rsidR="00C71C10" w:rsidRDefault="00BD3C15" w:rsidP="00C71C10">
            <w:pPr>
              <w:ind w:left="256" w:right="-90" w:hanging="256"/>
              <w:rPr>
                <w:sz w:val="20"/>
                <w:szCs w:val="20"/>
              </w:rPr>
            </w:pPr>
            <w:r>
              <w:rPr>
                <w:sz w:val="20"/>
                <w:szCs w:val="20"/>
              </w:rPr>
              <w:t>Assign Class Project</w:t>
            </w:r>
          </w:p>
          <w:p w:rsidR="008E25AF" w:rsidRPr="00FF391F" w:rsidRDefault="008E25AF" w:rsidP="00C71C10">
            <w:pPr>
              <w:ind w:left="256" w:right="-90" w:hanging="256"/>
              <w:rPr>
                <w:sz w:val="20"/>
                <w:szCs w:val="20"/>
              </w:rPr>
            </w:pPr>
            <w:r>
              <w:rPr>
                <w:sz w:val="20"/>
                <w:szCs w:val="20"/>
              </w:rPr>
              <w:t>Business Models</w:t>
            </w:r>
          </w:p>
        </w:tc>
        <w:tc>
          <w:tcPr>
            <w:tcW w:w="1260" w:type="dxa"/>
            <w:tcBorders>
              <w:top w:val="single" w:sz="4" w:space="0" w:color="auto"/>
              <w:left w:val="nil"/>
              <w:bottom w:val="single" w:sz="4" w:space="0" w:color="auto"/>
              <w:right w:val="single" w:sz="4" w:space="0" w:color="auto"/>
            </w:tcBorders>
            <w:shd w:val="clear" w:color="auto" w:fill="auto"/>
            <w:tcMar>
              <w:top w:w="43" w:type="dxa"/>
              <w:left w:w="14" w:type="dxa"/>
              <w:bottom w:w="43" w:type="dxa"/>
            </w:tcMar>
            <w:vAlign w:val="center"/>
          </w:tcPr>
          <w:p w:rsidR="00C71C10" w:rsidRPr="00FF391F" w:rsidRDefault="00C71C10" w:rsidP="00C71C10">
            <w:pPr>
              <w:ind w:left="76" w:hanging="90"/>
              <w:jc w:val="center"/>
              <w:rPr>
                <w:sz w:val="20"/>
                <w:szCs w:val="20"/>
              </w:rPr>
            </w:pPr>
          </w:p>
        </w:tc>
        <w:tc>
          <w:tcPr>
            <w:tcW w:w="333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rsidR="00C71C10" w:rsidRPr="00FF391F" w:rsidRDefault="008E25AF" w:rsidP="00C71C10">
            <w:pPr>
              <w:jc w:val="center"/>
              <w:rPr>
                <w:sz w:val="20"/>
                <w:szCs w:val="20"/>
              </w:rPr>
            </w:pPr>
            <w:r>
              <w:rPr>
                <w:sz w:val="20"/>
                <w:szCs w:val="20"/>
              </w:rPr>
              <w:t>Review Final Project Material In Blackboard</w:t>
            </w:r>
          </w:p>
        </w:tc>
      </w:tr>
      <w:tr w:rsidR="00C71C10" w:rsidRPr="00FF391F" w:rsidTr="00B13228">
        <w:trPr>
          <w:trHeight w:val="245"/>
        </w:trPr>
        <w:tc>
          <w:tcPr>
            <w:tcW w:w="72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C71C10" w:rsidRPr="00FF391F" w:rsidRDefault="000A71CE" w:rsidP="00C71C10">
            <w:pPr>
              <w:ind w:right="-18"/>
              <w:jc w:val="center"/>
              <w:rPr>
                <w:sz w:val="20"/>
                <w:szCs w:val="20"/>
              </w:rPr>
            </w:pPr>
            <w:r>
              <w:rPr>
                <w:sz w:val="20"/>
                <w:szCs w:val="20"/>
              </w:rPr>
              <w:t>4/4</w:t>
            </w:r>
          </w:p>
        </w:tc>
        <w:tc>
          <w:tcPr>
            <w:tcW w:w="5400" w:type="dxa"/>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rsidR="00C71C10" w:rsidRDefault="008E25AF" w:rsidP="00C71C10">
            <w:pPr>
              <w:ind w:left="256" w:right="-90" w:hanging="256"/>
              <w:rPr>
                <w:sz w:val="20"/>
                <w:szCs w:val="20"/>
              </w:rPr>
            </w:pPr>
            <w:r>
              <w:rPr>
                <w:sz w:val="20"/>
                <w:szCs w:val="20"/>
              </w:rPr>
              <w:t>Family Law Issues</w:t>
            </w:r>
          </w:p>
          <w:p w:rsidR="008E25AF" w:rsidRPr="00FF391F" w:rsidRDefault="008E25AF" w:rsidP="00C71C10">
            <w:pPr>
              <w:ind w:left="256" w:right="-90" w:hanging="256"/>
              <w:rPr>
                <w:sz w:val="20"/>
                <w:szCs w:val="20"/>
              </w:rPr>
            </w:pPr>
            <w:r>
              <w:rPr>
                <w:sz w:val="20"/>
                <w:szCs w:val="20"/>
              </w:rPr>
              <w:t>Fraud in Financial Statements</w:t>
            </w:r>
          </w:p>
        </w:tc>
        <w:tc>
          <w:tcPr>
            <w:tcW w:w="1260" w:type="dxa"/>
            <w:tcBorders>
              <w:top w:val="single" w:sz="4" w:space="0" w:color="auto"/>
              <w:left w:val="nil"/>
              <w:bottom w:val="single" w:sz="4" w:space="0" w:color="auto"/>
              <w:right w:val="single" w:sz="4" w:space="0" w:color="auto"/>
            </w:tcBorders>
            <w:tcMar>
              <w:top w:w="43" w:type="dxa"/>
              <w:left w:w="14" w:type="dxa"/>
              <w:bottom w:w="43" w:type="dxa"/>
            </w:tcMar>
            <w:vAlign w:val="center"/>
          </w:tcPr>
          <w:p w:rsidR="00C71C10" w:rsidRPr="00FF391F" w:rsidRDefault="00C71C10" w:rsidP="00C71C10">
            <w:pPr>
              <w:ind w:left="76" w:hanging="90"/>
              <w:jc w:val="center"/>
              <w:rPr>
                <w:sz w:val="20"/>
                <w:szCs w:val="20"/>
              </w:rPr>
            </w:pPr>
          </w:p>
        </w:tc>
        <w:tc>
          <w:tcPr>
            <w:tcW w:w="333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C71C10" w:rsidRPr="00FF391F" w:rsidRDefault="00C71C10" w:rsidP="00C71C10">
            <w:pPr>
              <w:jc w:val="center"/>
              <w:rPr>
                <w:sz w:val="20"/>
                <w:szCs w:val="20"/>
              </w:rPr>
            </w:pPr>
          </w:p>
        </w:tc>
      </w:tr>
      <w:tr w:rsidR="00C71C10" w:rsidRPr="00FF391F" w:rsidTr="00B13228">
        <w:trPr>
          <w:trHeight w:val="245"/>
        </w:trPr>
        <w:tc>
          <w:tcPr>
            <w:tcW w:w="72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C71C10" w:rsidRPr="00FF391F" w:rsidRDefault="000A71CE" w:rsidP="00C71C10">
            <w:pPr>
              <w:ind w:right="-18"/>
              <w:jc w:val="center"/>
              <w:rPr>
                <w:sz w:val="20"/>
                <w:szCs w:val="20"/>
              </w:rPr>
            </w:pPr>
            <w:r>
              <w:rPr>
                <w:sz w:val="20"/>
                <w:szCs w:val="20"/>
              </w:rPr>
              <w:t>4/11</w:t>
            </w:r>
          </w:p>
        </w:tc>
        <w:tc>
          <w:tcPr>
            <w:tcW w:w="5400" w:type="dxa"/>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rsidR="00C71C10" w:rsidRDefault="008E25AF" w:rsidP="00141AAF">
            <w:pPr>
              <w:ind w:left="256" w:right="-90" w:hanging="256"/>
              <w:rPr>
                <w:sz w:val="20"/>
                <w:szCs w:val="20"/>
              </w:rPr>
            </w:pPr>
            <w:r>
              <w:rPr>
                <w:sz w:val="20"/>
                <w:szCs w:val="20"/>
              </w:rPr>
              <w:t>Attorney Letters to Auditors</w:t>
            </w:r>
          </w:p>
          <w:p w:rsidR="008E25AF" w:rsidRPr="00FF391F" w:rsidRDefault="008E25AF" w:rsidP="00141AAF">
            <w:pPr>
              <w:ind w:left="256" w:right="-90" w:hanging="256"/>
              <w:rPr>
                <w:sz w:val="20"/>
                <w:szCs w:val="20"/>
              </w:rPr>
            </w:pPr>
            <w:r>
              <w:rPr>
                <w:sz w:val="20"/>
                <w:szCs w:val="20"/>
              </w:rPr>
              <w:t>Non-Profit Accounting</w:t>
            </w:r>
          </w:p>
        </w:tc>
        <w:tc>
          <w:tcPr>
            <w:tcW w:w="1260" w:type="dxa"/>
            <w:tcBorders>
              <w:top w:val="single" w:sz="4" w:space="0" w:color="auto"/>
              <w:left w:val="nil"/>
              <w:bottom w:val="single" w:sz="4" w:space="0" w:color="auto"/>
              <w:right w:val="single" w:sz="4" w:space="0" w:color="auto"/>
            </w:tcBorders>
            <w:tcMar>
              <w:top w:w="43" w:type="dxa"/>
              <w:left w:w="14" w:type="dxa"/>
              <w:bottom w:w="43" w:type="dxa"/>
            </w:tcMar>
            <w:vAlign w:val="center"/>
          </w:tcPr>
          <w:p w:rsidR="00C71C10" w:rsidRPr="00FF391F" w:rsidRDefault="00C71C10" w:rsidP="00C71C10">
            <w:pPr>
              <w:ind w:left="76" w:hanging="90"/>
              <w:jc w:val="center"/>
              <w:rPr>
                <w:sz w:val="20"/>
                <w:szCs w:val="20"/>
              </w:rPr>
            </w:pPr>
          </w:p>
        </w:tc>
        <w:tc>
          <w:tcPr>
            <w:tcW w:w="333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C71C10" w:rsidRPr="00FF391F" w:rsidRDefault="00C71C10" w:rsidP="00C71C10">
            <w:pPr>
              <w:jc w:val="center"/>
              <w:rPr>
                <w:sz w:val="20"/>
                <w:szCs w:val="20"/>
              </w:rPr>
            </w:pPr>
          </w:p>
        </w:tc>
      </w:tr>
      <w:tr w:rsidR="00C71C10" w:rsidRPr="00FF391F" w:rsidTr="00B13228">
        <w:trPr>
          <w:trHeight w:val="245"/>
        </w:trPr>
        <w:tc>
          <w:tcPr>
            <w:tcW w:w="72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C71C10" w:rsidRPr="00FF391F" w:rsidRDefault="000A71CE" w:rsidP="00C71C10">
            <w:pPr>
              <w:ind w:right="-18"/>
              <w:jc w:val="center"/>
              <w:rPr>
                <w:sz w:val="20"/>
                <w:szCs w:val="20"/>
              </w:rPr>
            </w:pPr>
            <w:r>
              <w:rPr>
                <w:sz w:val="20"/>
                <w:szCs w:val="20"/>
              </w:rPr>
              <w:t>4/18</w:t>
            </w:r>
          </w:p>
        </w:tc>
        <w:tc>
          <w:tcPr>
            <w:tcW w:w="540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C71C10" w:rsidRPr="00FF391F" w:rsidRDefault="008E25AF" w:rsidP="00C71C10">
            <w:pPr>
              <w:ind w:left="256" w:right="-90" w:hanging="256"/>
              <w:rPr>
                <w:sz w:val="20"/>
                <w:szCs w:val="20"/>
              </w:rPr>
            </w:pPr>
            <w:r>
              <w:rPr>
                <w:sz w:val="20"/>
                <w:szCs w:val="20"/>
              </w:rPr>
              <w:t>Work on Final Project In class</w:t>
            </w:r>
          </w:p>
        </w:tc>
        <w:tc>
          <w:tcPr>
            <w:tcW w:w="1260" w:type="dxa"/>
            <w:tcBorders>
              <w:top w:val="nil"/>
              <w:left w:val="nil"/>
              <w:bottom w:val="single" w:sz="4" w:space="0" w:color="auto"/>
              <w:right w:val="single" w:sz="4" w:space="0" w:color="auto"/>
            </w:tcBorders>
            <w:tcMar>
              <w:top w:w="43" w:type="dxa"/>
              <w:left w:w="14" w:type="dxa"/>
              <w:bottom w:w="43" w:type="dxa"/>
            </w:tcMar>
            <w:vAlign w:val="center"/>
          </w:tcPr>
          <w:p w:rsidR="00C71C10" w:rsidRPr="00FF391F" w:rsidRDefault="00C71C10" w:rsidP="00C71C10">
            <w:pPr>
              <w:ind w:left="76" w:hanging="90"/>
              <w:jc w:val="center"/>
              <w:rPr>
                <w:sz w:val="20"/>
                <w:szCs w:val="20"/>
              </w:rPr>
            </w:pPr>
          </w:p>
        </w:tc>
        <w:tc>
          <w:tcPr>
            <w:tcW w:w="3330" w:type="dxa"/>
            <w:tcBorders>
              <w:top w:val="nil"/>
              <w:left w:val="nil"/>
              <w:bottom w:val="single" w:sz="4" w:space="0" w:color="auto"/>
              <w:right w:val="single" w:sz="4" w:space="0" w:color="auto"/>
            </w:tcBorders>
            <w:tcMar>
              <w:top w:w="0" w:type="dxa"/>
              <w:left w:w="0" w:type="dxa"/>
              <w:bottom w:w="0" w:type="dxa"/>
              <w:right w:w="0" w:type="dxa"/>
            </w:tcMar>
            <w:vAlign w:val="center"/>
          </w:tcPr>
          <w:p w:rsidR="00C71C10" w:rsidRPr="00FF391F" w:rsidRDefault="008E25AF" w:rsidP="00C71C10">
            <w:pPr>
              <w:jc w:val="center"/>
              <w:rPr>
                <w:sz w:val="20"/>
                <w:szCs w:val="20"/>
              </w:rPr>
            </w:pPr>
            <w:r>
              <w:rPr>
                <w:sz w:val="20"/>
                <w:szCs w:val="20"/>
              </w:rPr>
              <w:t>None</w:t>
            </w:r>
          </w:p>
        </w:tc>
      </w:tr>
      <w:tr w:rsidR="00C71C10" w:rsidRPr="00FF391F" w:rsidTr="00B13228">
        <w:trPr>
          <w:trHeight w:val="245"/>
        </w:trPr>
        <w:tc>
          <w:tcPr>
            <w:tcW w:w="72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C71C10" w:rsidRPr="00FF391F" w:rsidRDefault="000A71CE" w:rsidP="00C71C10">
            <w:pPr>
              <w:ind w:right="-18"/>
              <w:jc w:val="center"/>
              <w:rPr>
                <w:sz w:val="20"/>
                <w:szCs w:val="20"/>
              </w:rPr>
            </w:pPr>
            <w:r>
              <w:rPr>
                <w:sz w:val="20"/>
                <w:szCs w:val="20"/>
              </w:rPr>
              <w:t>4/25</w:t>
            </w:r>
          </w:p>
        </w:tc>
        <w:tc>
          <w:tcPr>
            <w:tcW w:w="540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C71C10" w:rsidRPr="00FF391F" w:rsidRDefault="00A84ADB" w:rsidP="00C71C10">
            <w:pPr>
              <w:ind w:left="256" w:right="-90" w:hanging="256"/>
              <w:rPr>
                <w:sz w:val="20"/>
                <w:szCs w:val="20"/>
              </w:rPr>
            </w:pPr>
            <w:r>
              <w:rPr>
                <w:sz w:val="20"/>
                <w:szCs w:val="20"/>
              </w:rPr>
              <w:t>Final Project Paper due and review for final exam</w:t>
            </w:r>
          </w:p>
        </w:tc>
        <w:tc>
          <w:tcPr>
            <w:tcW w:w="1260" w:type="dxa"/>
            <w:tcBorders>
              <w:top w:val="nil"/>
              <w:left w:val="nil"/>
              <w:bottom w:val="single" w:sz="4" w:space="0" w:color="auto"/>
              <w:right w:val="single" w:sz="4" w:space="0" w:color="auto"/>
            </w:tcBorders>
            <w:tcMar>
              <w:top w:w="43" w:type="dxa"/>
              <w:left w:w="14" w:type="dxa"/>
              <w:bottom w:w="43" w:type="dxa"/>
            </w:tcMar>
            <w:vAlign w:val="center"/>
          </w:tcPr>
          <w:p w:rsidR="00C71C10" w:rsidRPr="00FF391F" w:rsidRDefault="00C71C10" w:rsidP="00C71C10">
            <w:pPr>
              <w:ind w:left="76" w:hanging="90"/>
              <w:jc w:val="center"/>
              <w:rPr>
                <w:sz w:val="20"/>
                <w:szCs w:val="20"/>
              </w:rPr>
            </w:pPr>
          </w:p>
        </w:tc>
        <w:tc>
          <w:tcPr>
            <w:tcW w:w="3330" w:type="dxa"/>
            <w:tcBorders>
              <w:top w:val="nil"/>
              <w:left w:val="nil"/>
              <w:bottom w:val="single" w:sz="4" w:space="0" w:color="auto"/>
              <w:right w:val="single" w:sz="4" w:space="0" w:color="auto"/>
            </w:tcBorders>
            <w:tcMar>
              <w:top w:w="0" w:type="dxa"/>
              <w:left w:w="0" w:type="dxa"/>
              <w:bottom w:w="0" w:type="dxa"/>
              <w:right w:w="0" w:type="dxa"/>
            </w:tcMar>
            <w:vAlign w:val="center"/>
          </w:tcPr>
          <w:p w:rsidR="00C71C10" w:rsidRPr="00FF391F" w:rsidRDefault="00C71C10" w:rsidP="00C71C10">
            <w:pPr>
              <w:jc w:val="center"/>
              <w:rPr>
                <w:sz w:val="20"/>
                <w:szCs w:val="20"/>
              </w:rPr>
            </w:pPr>
          </w:p>
        </w:tc>
      </w:tr>
      <w:tr w:rsidR="00C71C10" w:rsidRPr="00FF391F" w:rsidTr="00984673">
        <w:trPr>
          <w:trHeight w:val="216"/>
        </w:trPr>
        <w:tc>
          <w:tcPr>
            <w:tcW w:w="720" w:type="dxa"/>
            <w:tcBorders>
              <w:top w:val="single" w:sz="4" w:space="0" w:color="auto"/>
              <w:left w:val="single" w:sz="4" w:space="0" w:color="auto"/>
              <w:bottom w:val="single" w:sz="4" w:space="0" w:color="auto"/>
              <w:right w:val="nil"/>
            </w:tcBorders>
            <w:shd w:val="clear" w:color="auto" w:fill="D9D9D9"/>
            <w:noWrap/>
            <w:tcMar>
              <w:top w:w="43" w:type="dxa"/>
              <w:left w:w="14" w:type="dxa"/>
              <w:bottom w:w="43" w:type="dxa"/>
              <w:right w:w="72" w:type="dxa"/>
            </w:tcMar>
            <w:vAlign w:val="center"/>
          </w:tcPr>
          <w:p w:rsidR="00C71C10" w:rsidRPr="00FF391F" w:rsidRDefault="00C71C10" w:rsidP="00C71C10">
            <w:pPr>
              <w:ind w:right="-18"/>
              <w:jc w:val="center"/>
              <w:rPr>
                <w:sz w:val="20"/>
                <w:szCs w:val="20"/>
              </w:rPr>
            </w:pPr>
            <w:bookmarkStart w:id="0" w:name="_GoBack"/>
            <w:bookmarkEnd w:id="0"/>
          </w:p>
        </w:tc>
        <w:tc>
          <w:tcPr>
            <w:tcW w:w="5400" w:type="dxa"/>
            <w:tcBorders>
              <w:top w:val="nil"/>
              <w:left w:val="single" w:sz="4" w:space="0" w:color="auto"/>
              <w:bottom w:val="single" w:sz="4" w:space="0" w:color="auto"/>
              <w:right w:val="single" w:sz="4" w:space="0" w:color="auto"/>
            </w:tcBorders>
            <w:shd w:val="clear" w:color="auto" w:fill="D9D9D9"/>
            <w:tcMar>
              <w:top w:w="43" w:type="dxa"/>
              <w:left w:w="14" w:type="dxa"/>
              <w:bottom w:w="43" w:type="dxa"/>
              <w:right w:w="0" w:type="dxa"/>
            </w:tcMar>
            <w:vAlign w:val="center"/>
          </w:tcPr>
          <w:p w:rsidR="00C71C10" w:rsidRPr="00FF391F" w:rsidRDefault="000A71CE" w:rsidP="00C71C10">
            <w:pPr>
              <w:ind w:left="256" w:right="-90" w:hanging="256"/>
              <w:rPr>
                <w:sz w:val="20"/>
                <w:szCs w:val="20"/>
              </w:rPr>
            </w:pPr>
            <w:r>
              <w:rPr>
                <w:sz w:val="20"/>
                <w:szCs w:val="20"/>
              </w:rPr>
              <w:t>Final Exam TBA</w:t>
            </w:r>
          </w:p>
        </w:tc>
        <w:tc>
          <w:tcPr>
            <w:tcW w:w="1260" w:type="dxa"/>
            <w:tcBorders>
              <w:top w:val="single" w:sz="4" w:space="0" w:color="auto"/>
              <w:left w:val="nil"/>
              <w:bottom w:val="single" w:sz="4" w:space="0" w:color="auto"/>
              <w:right w:val="nil"/>
            </w:tcBorders>
            <w:shd w:val="clear" w:color="auto" w:fill="D9D9D9"/>
            <w:tcMar>
              <w:top w:w="43" w:type="dxa"/>
              <w:left w:w="14" w:type="dxa"/>
              <w:bottom w:w="43" w:type="dxa"/>
            </w:tcMar>
            <w:vAlign w:val="center"/>
          </w:tcPr>
          <w:p w:rsidR="00C71C10" w:rsidRPr="00FF391F" w:rsidRDefault="00C71C10" w:rsidP="00C71C10">
            <w:pPr>
              <w:ind w:left="76" w:hanging="90"/>
              <w:jc w:val="center"/>
              <w:rPr>
                <w:sz w:val="20"/>
                <w:szCs w:val="20"/>
              </w:rPr>
            </w:pPr>
          </w:p>
        </w:tc>
        <w:tc>
          <w:tcPr>
            <w:tcW w:w="3330" w:type="dxa"/>
            <w:tcBorders>
              <w:top w:val="nil"/>
              <w:left w:val="single" w:sz="4" w:space="0" w:color="auto"/>
              <w:bottom w:val="single" w:sz="4" w:space="0" w:color="auto"/>
              <w:right w:val="single" w:sz="4" w:space="0" w:color="auto"/>
            </w:tcBorders>
            <w:shd w:val="clear" w:color="auto" w:fill="D9D9D9"/>
            <w:tcMar>
              <w:top w:w="14" w:type="dxa"/>
              <w:left w:w="0" w:type="dxa"/>
              <w:bottom w:w="14" w:type="dxa"/>
              <w:right w:w="0" w:type="dxa"/>
            </w:tcMar>
            <w:vAlign w:val="center"/>
          </w:tcPr>
          <w:p w:rsidR="00C71C10" w:rsidRPr="00FF391F" w:rsidRDefault="00C71C10" w:rsidP="00C71C10">
            <w:pPr>
              <w:jc w:val="center"/>
              <w:rPr>
                <w:sz w:val="20"/>
                <w:szCs w:val="20"/>
              </w:rPr>
            </w:pPr>
          </w:p>
        </w:tc>
      </w:tr>
    </w:tbl>
    <w:p w:rsidR="002B4794" w:rsidRDefault="002B4794" w:rsidP="000A71C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sz w:val="22"/>
        </w:rPr>
      </w:pPr>
    </w:p>
    <w:sectPr w:rsidR="002B4794" w:rsidSect="009B7BAC">
      <w:footerReference w:type="default" r:id="rId14"/>
      <w:pgSz w:w="12240" w:h="15840" w:code="1"/>
      <w:pgMar w:top="990" w:right="1728" w:bottom="720" w:left="1728"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DF4" w:rsidRDefault="00DB6DF4">
      <w:r>
        <w:separator/>
      </w:r>
    </w:p>
  </w:endnote>
  <w:endnote w:type="continuationSeparator" w:id="0">
    <w:p w:rsidR="00DB6DF4" w:rsidRDefault="00DB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7C6" w:rsidRDefault="003B0465">
    <w:pPr>
      <w:pStyle w:val="Footer"/>
      <w:jc w:val="center"/>
    </w:pPr>
    <w:r>
      <w:fldChar w:fldCharType="begin"/>
    </w:r>
    <w:r>
      <w:instrText xml:space="preserve"> PAGE   \* MERGEFORMAT </w:instrText>
    </w:r>
    <w:r>
      <w:fldChar w:fldCharType="separate"/>
    </w:r>
    <w:r w:rsidR="000A71CE">
      <w:rPr>
        <w:noProof/>
      </w:rPr>
      <w:t>7</w:t>
    </w:r>
    <w:r>
      <w:rPr>
        <w:noProof/>
      </w:rPr>
      <w:fldChar w:fldCharType="end"/>
    </w:r>
  </w:p>
  <w:p w:rsidR="002D27C6" w:rsidRPr="009B7BAC" w:rsidRDefault="002D27C6" w:rsidP="009B7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DF4" w:rsidRDefault="00DB6DF4">
      <w:r>
        <w:separator/>
      </w:r>
    </w:p>
  </w:footnote>
  <w:footnote w:type="continuationSeparator" w:id="0">
    <w:p w:rsidR="00DB6DF4" w:rsidRDefault="00DB6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C45EB6"/>
    <w:multiLevelType w:val="hybridMultilevel"/>
    <w:tmpl w:val="8A30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318F3"/>
    <w:multiLevelType w:val="hybridMultilevel"/>
    <w:tmpl w:val="407408BA"/>
    <w:lvl w:ilvl="0" w:tplc="34EE0538">
      <w:start w:val="2"/>
      <w:numFmt w:val="decimal"/>
      <w:lvlText w:val="%1."/>
      <w:lvlJc w:val="left"/>
      <w:pPr>
        <w:ind w:left="1080" w:hanging="360"/>
      </w:pPr>
      <w:rPr>
        <w:b/>
        <w:i w:val="0"/>
        <w:w w:val="9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615030"/>
    <w:multiLevelType w:val="hybridMultilevel"/>
    <w:tmpl w:val="1666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0823F5"/>
    <w:multiLevelType w:val="hybridMultilevel"/>
    <w:tmpl w:val="4592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571FE"/>
    <w:multiLevelType w:val="hybridMultilevel"/>
    <w:tmpl w:val="F78A15CA"/>
    <w:lvl w:ilvl="0" w:tplc="A5620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7773F"/>
    <w:multiLevelType w:val="hybridMultilevel"/>
    <w:tmpl w:val="FFF6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B5BD5"/>
    <w:multiLevelType w:val="hybridMultilevel"/>
    <w:tmpl w:val="3A541F1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56D02FD3"/>
    <w:multiLevelType w:val="hybridMultilevel"/>
    <w:tmpl w:val="F98C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9A06B07"/>
    <w:multiLevelType w:val="hybridMultilevel"/>
    <w:tmpl w:val="A7923900"/>
    <w:lvl w:ilvl="0" w:tplc="28FCD26C">
      <w:start w:val="3"/>
      <w:numFmt w:val="decimal"/>
      <w:lvlText w:val="%1."/>
      <w:lvlJc w:val="left"/>
      <w:pPr>
        <w:ind w:left="1530" w:hanging="360"/>
      </w:pPr>
      <w:rPr>
        <w:b/>
        <w:i w:val="0"/>
        <w:w w:val="10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4"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Times New Roman"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Times New Roman"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Times New Roman" w:hint="default"/>
      </w:rPr>
    </w:lvl>
    <w:lvl w:ilvl="8" w:tplc="04090005">
      <w:start w:val="1"/>
      <w:numFmt w:val="bullet"/>
      <w:lvlText w:val=""/>
      <w:lvlJc w:val="left"/>
      <w:pPr>
        <w:ind w:left="7240" w:hanging="360"/>
      </w:pPr>
      <w:rPr>
        <w:rFonts w:ascii="Wingdings" w:hAnsi="Wingdings" w:hint="default"/>
      </w:rPr>
    </w:lvl>
  </w:abstractNum>
  <w:num w:numId="1">
    <w:abstractNumId w:val="10"/>
  </w:num>
  <w:num w:numId="2">
    <w:abstractNumId w:val="9"/>
  </w:num>
  <w:num w:numId="3">
    <w:abstractNumId w:val="11"/>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5"/>
  </w:num>
  <w:num w:numId="10">
    <w:abstractNumId w:val="12"/>
  </w:num>
  <w:num w:numId="11">
    <w:abstractNumId w:val="2"/>
  </w:num>
  <w:num w:numId="12">
    <w:abstractNumId w:val="4"/>
  </w:num>
  <w:num w:numId="13">
    <w:abstractNumId w:val="7"/>
  </w:num>
  <w:num w:numId="14">
    <w:abstractNumId w:val="6"/>
  </w:num>
  <w:num w:numId="15">
    <w:abstractNumId w:val="8"/>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2246"/>
    <w:rsid w:val="000031F4"/>
    <w:rsid w:val="000046EB"/>
    <w:rsid w:val="00005413"/>
    <w:rsid w:val="00007C28"/>
    <w:rsid w:val="0001548B"/>
    <w:rsid w:val="000160A2"/>
    <w:rsid w:val="0002403A"/>
    <w:rsid w:val="00025EAB"/>
    <w:rsid w:val="00027543"/>
    <w:rsid w:val="000335A7"/>
    <w:rsid w:val="00033649"/>
    <w:rsid w:val="000346B0"/>
    <w:rsid w:val="00035D65"/>
    <w:rsid w:val="00037E4E"/>
    <w:rsid w:val="000449EE"/>
    <w:rsid w:val="00044C76"/>
    <w:rsid w:val="00047AFE"/>
    <w:rsid w:val="000502F7"/>
    <w:rsid w:val="00050873"/>
    <w:rsid w:val="0005438D"/>
    <w:rsid w:val="00056AAB"/>
    <w:rsid w:val="000574AC"/>
    <w:rsid w:val="00061EB8"/>
    <w:rsid w:val="00070338"/>
    <w:rsid w:val="000727DC"/>
    <w:rsid w:val="00073ABD"/>
    <w:rsid w:val="00074C29"/>
    <w:rsid w:val="00080F3C"/>
    <w:rsid w:val="00082E53"/>
    <w:rsid w:val="00083145"/>
    <w:rsid w:val="000918D9"/>
    <w:rsid w:val="00091D97"/>
    <w:rsid w:val="00093EB7"/>
    <w:rsid w:val="00094E13"/>
    <w:rsid w:val="000973E2"/>
    <w:rsid w:val="0009788A"/>
    <w:rsid w:val="000A0EAA"/>
    <w:rsid w:val="000A1E12"/>
    <w:rsid w:val="000A2513"/>
    <w:rsid w:val="000A391D"/>
    <w:rsid w:val="000A49FF"/>
    <w:rsid w:val="000A5C5D"/>
    <w:rsid w:val="000A6189"/>
    <w:rsid w:val="000A62A0"/>
    <w:rsid w:val="000A636C"/>
    <w:rsid w:val="000A71CE"/>
    <w:rsid w:val="000A7FD6"/>
    <w:rsid w:val="000B147F"/>
    <w:rsid w:val="000B1E7D"/>
    <w:rsid w:val="000B2701"/>
    <w:rsid w:val="000B3057"/>
    <w:rsid w:val="000B6144"/>
    <w:rsid w:val="000B7207"/>
    <w:rsid w:val="000C1BB3"/>
    <w:rsid w:val="000C2B7D"/>
    <w:rsid w:val="000C3509"/>
    <w:rsid w:val="000C3C31"/>
    <w:rsid w:val="000C3EFD"/>
    <w:rsid w:val="000C40C7"/>
    <w:rsid w:val="000C7973"/>
    <w:rsid w:val="000D169E"/>
    <w:rsid w:val="000D2396"/>
    <w:rsid w:val="000D2771"/>
    <w:rsid w:val="000D302C"/>
    <w:rsid w:val="000D37EE"/>
    <w:rsid w:val="000D701A"/>
    <w:rsid w:val="000E0210"/>
    <w:rsid w:val="000E0CE1"/>
    <w:rsid w:val="000E1DDA"/>
    <w:rsid w:val="000E6707"/>
    <w:rsid w:val="000E7DAF"/>
    <w:rsid w:val="000F5141"/>
    <w:rsid w:val="000F5D4F"/>
    <w:rsid w:val="001000AC"/>
    <w:rsid w:val="00101D7A"/>
    <w:rsid w:val="00103E95"/>
    <w:rsid w:val="00103F52"/>
    <w:rsid w:val="00107C3C"/>
    <w:rsid w:val="00114A94"/>
    <w:rsid w:val="00115024"/>
    <w:rsid w:val="0012673C"/>
    <w:rsid w:val="00130178"/>
    <w:rsid w:val="001315EE"/>
    <w:rsid w:val="00132093"/>
    <w:rsid w:val="00132BD6"/>
    <w:rsid w:val="00134B5A"/>
    <w:rsid w:val="00136E7E"/>
    <w:rsid w:val="0014058C"/>
    <w:rsid w:val="00141755"/>
    <w:rsid w:val="00141AAF"/>
    <w:rsid w:val="001426A6"/>
    <w:rsid w:val="0014272F"/>
    <w:rsid w:val="00143062"/>
    <w:rsid w:val="0014308A"/>
    <w:rsid w:val="00144EFB"/>
    <w:rsid w:val="00145B01"/>
    <w:rsid w:val="00146EDD"/>
    <w:rsid w:val="001505B9"/>
    <w:rsid w:val="0015085A"/>
    <w:rsid w:val="00150EE5"/>
    <w:rsid w:val="00151621"/>
    <w:rsid w:val="00152464"/>
    <w:rsid w:val="00152566"/>
    <w:rsid w:val="00153067"/>
    <w:rsid w:val="0015489B"/>
    <w:rsid w:val="001611A7"/>
    <w:rsid w:val="00167166"/>
    <w:rsid w:val="001717AC"/>
    <w:rsid w:val="00171B90"/>
    <w:rsid w:val="00173C32"/>
    <w:rsid w:val="001743CC"/>
    <w:rsid w:val="0017496D"/>
    <w:rsid w:val="00175B07"/>
    <w:rsid w:val="0017649B"/>
    <w:rsid w:val="00180516"/>
    <w:rsid w:val="00181073"/>
    <w:rsid w:val="00184453"/>
    <w:rsid w:val="00185CEE"/>
    <w:rsid w:val="0019337C"/>
    <w:rsid w:val="00193CE0"/>
    <w:rsid w:val="0019502C"/>
    <w:rsid w:val="001A03F4"/>
    <w:rsid w:val="001A07FE"/>
    <w:rsid w:val="001A32FE"/>
    <w:rsid w:val="001A49DE"/>
    <w:rsid w:val="001A563D"/>
    <w:rsid w:val="001A5851"/>
    <w:rsid w:val="001A5EB3"/>
    <w:rsid w:val="001A6DBA"/>
    <w:rsid w:val="001A721E"/>
    <w:rsid w:val="001B0AA3"/>
    <w:rsid w:val="001B4A88"/>
    <w:rsid w:val="001B634D"/>
    <w:rsid w:val="001C0D61"/>
    <w:rsid w:val="001C2F68"/>
    <w:rsid w:val="001C4F9A"/>
    <w:rsid w:val="001C52EB"/>
    <w:rsid w:val="001C691B"/>
    <w:rsid w:val="001C6F7A"/>
    <w:rsid w:val="001C70A7"/>
    <w:rsid w:val="001D0404"/>
    <w:rsid w:val="001D0602"/>
    <w:rsid w:val="001D1264"/>
    <w:rsid w:val="001D319F"/>
    <w:rsid w:val="001D4AEB"/>
    <w:rsid w:val="001D66BC"/>
    <w:rsid w:val="001D6F12"/>
    <w:rsid w:val="001E4C28"/>
    <w:rsid w:val="001E63A3"/>
    <w:rsid w:val="001F1EEF"/>
    <w:rsid w:val="001F23F6"/>
    <w:rsid w:val="001F2568"/>
    <w:rsid w:val="001F4ABB"/>
    <w:rsid w:val="001F6154"/>
    <w:rsid w:val="001F7A8C"/>
    <w:rsid w:val="001F7B05"/>
    <w:rsid w:val="002014F5"/>
    <w:rsid w:val="00201FAD"/>
    <w:rsid w:val="0020532D"/>
    <w:rsid w:val="00205CB0"/>
    <w:rsid w:val="00207DB5"/>
    <w:rsid w:val="00211100"/>
    <w:rsid w:val="002126C9"/>
    <w:rsid w:val="002127B6"/>
    <w:rsid w:val="00212C7A"/>
    <w:rsid w:val="00212DE5"/>
    <w:rsid w:val="00213E15"/>
    <w:rsid w:val="00215939"/>
    <w:rsid w:val="00220022"/>
    <w:rsid w:val="00222F56"/>
    <w:rsid w:val="002233D5"/>
    <w:rsid w:val="00223F49"/>
    <w:rsid w:val="002249BC"/>
    <w:rsid w:val="00231374"/>
    <w:rsid w:val="00232620"/>
    <w:rsid w:val="002329C4"/>
    <w:rsid w:val="0023615B"/>
    <w:rsid w:val="0024212C"/>
    <w:rsid w:val="00242B29"/>
    <w:rsid w:val="002435D7"/>
    <w:rsid w:val="00245AAF"/>
    <w:rsid w:val="002469B7"/>
    <w:rsid w:val="00257C92"/>
    <w:rsid w:val="00260FA0"/>
    <w:rsid w:val="00265327"/>
    <w:rsid w:val="00266198"/>
    <w:rsid w:val="00267E41"/>
    <w:rsid w:val="002708EB"/>
    <w:rsid w:val="002722EC"/>
    <w:rsid w:val="0027319C"/>
    <w:rsid w:val="002820D6"/>
    <w:rsid w:val="00282A8E"/>
    <w:rsid w:val="0028429B"/>
    <w:rsid w:val="00286324"/>
    <w:rsid w:val="00286A1D"/>
    <w:rsid w:val="00287562"/>
    <w:rsid w:val="00292FC2"/>
    <w:rsid w:val="00294216"/>
    <w:rsid w:val="002958CE"/>
    <w:rsid w:val="0029596F"/>
    <w:rsid w:val="0029710F"/>
    <w:rsid w:val="002A19BD"/>
    <w:rsid w:val="002A6CED"/>
    <w:rsid w:val="002A7543"/>
    <w:rsid w:val="002B0D13"/>
    <w:rsid w:val="002B4794"/>
    <w:rsid w:val="002B538C"/>
    <w:rsid w:val="002C25AC"/>
    <w:rsid w:val="002D1B24"/>
    <w:rsid w:val="002D27C6"/>
    <w:rsid w:val="002D432D"/>
    <w:rsid w:val="002D6F9E"/>
    <w:rsid w:val="002D75F0"/>
    <w:rsid w:val="002E022B"/>
    <w:rsid w:val="002E1D19"/>
    <w:rsid w:val="002E29FA"/>
    <w:rsid w:val="002E6D39"/>
    <w:rsid w:val="002F1A72"/>
    <w:rsid w:val="002F6A5E"/>
    <w:rsid w:val="002F711D"/>
    <w:rsid w:val="00302B1B"/>
    <w:rsid w:val="00303AF5"/>
    <w:rsid w:val="00304328"/>
    <w:rsid w:val="00306B8D"/>
    <w:rsid w:val="00312B52"/>
    <w:rsid w:val="00314651"/>
    <w:rsid w:val="00315225"/>
    <w:rsid w:val="00316937"/>
    <w:rsid w:val="00320562"/>
    <w:rsid w:val="00320702"/>
    <w:rsid w:val="00321211"/>
    <w:rsid w:val="003217CC"/>
    <w:rsid w:val="0032568A"/>
    <w:rsid w:val="0032628E"/>
    <w:rsid w:val="00326D70"/>
    <w:rsid w:val="003327A6"/>
    <w:rsid w:val="00333E6C"/>
    <w:rsid w:val="00334C41"/>
    <w:rsid w:val="00336D04"/>
    <w:rsid w:val="003443FB"/>
    <w:rsid w:val="00344689"/>
    <w:rsid w:val="00345781"/>
    <w:rsid w:val="00351010"/>
    <w:rsid w:val="00351A8C"/>
    <w:rsid w:val="0035724C"/>
    <w:rsid w:val="0036012B"/>
    <w:rsid w:val="00360C92"/>
    <w:rsid w:val="00361361"/>
    <w:rsid w:val="00362125"/>
    <w:rsid w:val="00362AA5"/>
    <w:rsid w:val="00363491"/>
    <w:rsid w:val="00363D5D"/>
    <w:rsid w:val="00365FEF"/>
    <w:rsid w:val="00366323"/>
    <w:rsid w:val="00366FEE"/>
    <w:rsid w:val="003753DC"/>
    <w:rsid w:val="00375B20"/>
    <w:rsid w:val="0037695D"/>
    <w:rsid w:val="003847B0"/>
    <w:rsid w:val="003848BA"/>
    <w:rsid w:val="003848CD"/>
    <w:rsid w:val="00387CB4"/>
    <w:rsid w:val="003912B4"/>
    <w:rsid w:val="00393888"/>
    <w:rsid w:val="00394832"/>
    <w:rsid w:val="00395398"/>
    <w:rsid w:val="003961C5"/>
    <w:rsid w:val="003A25A9"/>
    <w:rsid w:val="003A69CD"/>
    <w:rsid w:val="003A7D6E"/>
    <w:rsid w:val="003B0465"/>
    <w:rsid w:val="003C52CD"/>
    <w:rsid w:val="003C6175"/>
    <w:rsid w:val="003C6A48"/>
    <w:rsid w:val="003D073B"/>
    <w:rsid w:val="003D5037"/>
    <w:rsid w:val="003D6573"/>
    <w:rsid w:val="003E36B4"/>
    <w:rsid w:val="003E420A"/>
    <w:rsid w:val="003F0542"/>
    <w:rsid w:val="003F1A30"/>
    <w:rsid w:val="003F6068"/>
    <w:rsid w:val="003F637F"/>
    <w:rsid w:val="004033E4"/>
    <w:rsid w:val="00403A1A"/>
    <w:rsid w:val="0040485B"/>
    <w:rsid w:val="00404A89"/>
    <w:rsid w:val="00404EB0"/>
    <w:rsid w:val="00405D59"/>
    <w:rsid w:val="00410068"/>
    <w:rsid w:val="00410910"/>
    <w:rsid w:val="00412EC8"/>
    <w:rsid w:val="00413B58"/>
    <w:rsid w:val="00413FEE"/>
    <w:rsid w:val="00415A2B"/>
    <w:rsid w:val="00421BB6"/>
    <w:rsid w:val="00423B7A"/>
    <w:rsid w:val="00427179"/>
    <w:rsid w:val="00427AFF"/>
    <w:rsid w:val="0043321A"/>
    <w:rsid w:val="00435B13"/>
    <w:rsid w:val="00440838"/>
    <w:rsid w:val="00440B75"/>
    <w:rsid w:val="00444F00"/>
    <w:rsid w:val="00445D8E"/>
    <w:rsid w:val="0044771C"/>
    <w:rsid w:val="00447DBE"/>
    <w:rsid w:val="00451262"/>
    <w:rsid w:val="00451AF6"/>
    <w:rsid w:val="00452547"/>
    <w:rsid w:val="00455A84"/>
    <w:rsid w:val="00455E48"/>
    <w:rsid w:val="0046031A"/>
    <w:rsid w:val="0046073B"/>
    <w:rsid w:val="00460F23"/>
    <w:rsid w:val="00462407"/>
    <w:rsid w:val="00463050"/>
    <w:rsid w:val="004645DE"/>
    <w:rsid w:val="00465B93"/>
    <w:rsid w:val="00466EF0"/>
    <w:rsid w:val="00473654"/>
    <w:rsid w:val="00474985"/>
    <w:rsid w:val="00477C56"/>
    <w:rsid w:val="0048008C"/>
    <w:rsid w:val="00483609"/>
    <w:rsid w:val="00486A9B"/>
    <w:rsid w:val="00490BC6"/>
    <w:rsid w:val="00494223"/>
    <w:rsid w:val="00495DD2"/>
    <w:rsid w:val="004A1A22"/>
    <w:rsid w:val="004A341F"/>
    <w:rsid w:val="004A50C8"/>
    <w:rsid w:val="004A51DA"/>
    <w:rsid w:val="004A63C6"/>
    <w:rsid w:val="004A7C57"/>
    <w:rsid w:val="004B09DE"/>
    <w:rsid w:val="004B0F8D"/>
    <w:rsid w:val="004B200C"/>
    <w:rsid w:val="004B247C"/>
    <w:rsid w:val="004B6C74"/>
    <w:rsid w:val="004C10C2"/>
    <w:rsid w:val="004C361D"/>
    <w:rsid w:val="004C5493"/>
    <w:rsid w:val="004C5C78"/>
    <w:rsid w:val="004C7A57"/>
    <w:rsid w:val="004D07A5"/>
    <w:rsid w:val="004D1FC1"/>
    <w:rsid w:val="004D2241"/>
    <w:rsid w:val="004D28B4"/>
    <w:rsid w:val="004D4771"/>
    <w:rsid w:val="004D52DC"/>
    <w:rsid w:val="004D5C6D"/>
    <w:rsid w:val="004E2C05"/>
    <w:rsid w:val="004E4852"/>
    <w:rsid w:val="004E4BBB"/>
    <w:rsid w:val="004F1AB0"/>
    <w:rsid w:val="004F3DC4"/>
    <w:rsid w:val="004F5D74"/>
    <w:rsid w:val="004F607F"/>
    <w:rsid w:val="00501348"/>
    <w:rsid w:val="00501F82"/>
    <w:rsid w:val="0050589A"/>
    <w:rsid w:val="00505CF0"/>
    <w:rsid w:val="005072FE"/>
    <w:rsid w:val="00512F77"/>
    <w:rsid w:val="00514EF4"/>
    <w:rsid w:val="00515126"/>
    <w:rsid w:val="005154E9"/>
    <w:rsid w:val="00515AE9"/>
    <w:rsid w:val="00517142"/>
    <w:rsid w:val="00517EBF"/>
    <w:rsid w:val="005200C1"/>
    <w:rsid w:val="00531AF7"/>
    <w:rsid w:val="005339B3"/>
    <w:rsid w:val="00535164"/>
    <w:rsid w:val="0053522D"/>
    <w:rsid w:val="005355E2"/>
    <w:rsid w:val="00545430"/>
    <w:rsid w:val="00545C45"/>
    <w:rsid w:val="005529A5"/>
    <w:rsid w:val="00555AF1"/>
    <w:rsid w:val="00555B9C"/>
    <w:rsid w:val="00556CAA"/>
    <w:rsid w:val="00557C3D"/>
    <w:rsid w:val="00560FF7"/>
    <w:rsid w:val="00562441"/>
    <w:rsid w:val="00565E00"/>
    <w:rsid w:val="00567684"/>
    <w:rsid w:val="005714DA"/>
    <w:rsid w:val="00571F0D"/>
    <w:rsid w:val="00576F8B"/>
    <w:rsid w:val="00580D50"/>
    <w:rsid w:val="00581359"/>
    <w:rsid w:val="00583B5A"/>
    <w:rsid w:val="00591E8F"/>
    <w:rsid w:val="00594BF0"/>
    <w:rsid w:val="00594BFC"/>
    <w:rsid w:val="00594F6B"/>
    <w:rsid w:val="005A17D7"/>
    <w:rsid w:val="005A3EA9"/>
    <w:rsid w:val="005A5F83"/>
    <w:rsid w:val="005A65FB"/>
    <w:rsid w:val="005B08DE"/>
    <w:rsid w:val="005B18BD"/>
    <w:rsid w:val="005B3F81"/>
    <w:rsid w:val="005B6467"/>
    <w:rsid w:val="005C23E4"/>
    <w:rsid w:val="005C241F"/>
    <w:rsid w:val="005C25D3"/>
    <w:rsid w:val="005C29A2"/>
    <w:rsid w:val="005C4AB3"/>
    <w:rsid w:val="005C5B88"/>
    <w:rsid w:val="005D5414"/>
    <w:rsid w:val="005D56BF"/>
    <w:rsid w:val="005D6371"/>
    <w:rsid w:val="005D7EC8"/>
    <w:rsid w:val="005E4828"/>
    <w:rsid w:val="005E5942"/>
    <w:rsid w:val="005E612C"/>
    <w:rsid w:val="005E642D"/>
    <w:rsid w:val="005F1353"/>
    <w:rsid w:val="005F28A7"/>
    <w:rsid w:val="005F4922"/>
    <w:rsid w:val="005F4B0D"/>
    <w:rsid w:val="006000EF"/>
    <w:rsid w:val="00601B1D"/>
    <w:rsid w:val="0060269C"/>
    <w:rsid w:val="006039DD"/>
    <w:rsid w:val="00606850"/>
    <w:rsid w:val="00607160"/>
    <w:rsid w:val="00607981"/>
    <w:rsid w:val="00607AA6"/>
    <w:rsid w:val="00610C30"/>
    <w:rsid w:val="00612011"/>
    <w:rsid w:val="00612E60"/>
    <w:rsid w:val="00614584"/>
    <w:rsid w:val="00614A2D"/>
    <w:rsid w:val="00616E34"/>
    <w:rsid w:val="00622423"/>
    <w:rsid w:val="00622EFC"/>
    <w:rsid w:val="00625D6B"/>
    <w:rsid w:val="006265A4"/>
    <w:rsid w:val="0062698C"/>
    <w:rsid w:val="00630199"/>
    <w:rsid w:val="0063131F"/>
    <w:rsid w:val="00631442"/>
    <w:rsid w:val="00631BA7"/>
    <w:rsid w:val="006358F2"/>
    <w:rsid w:val="0063673A"/>
    <w:rsid w:val="00637F3B"/>
    <w:rsid w:val="00640D23"/>
    <w:rsid w:val="00641C10"/>
    <w:rsid w:val="00643B34"/>
    <w:rsid w:val="0064435B"/>
    <w:rsid w:val="0064482C"/>
    <w:rsid w:val="00645EE4"/>
    <w:rsid w:val="0064608C"/>
    <w:rsid w:val="00647301"/>
    <w:rsid w:val="00647E16"/>
    <w:rsid w:val="006544CA"/>
    <w:rsid w:val="00656158"/>
    <w:rsid w:val="00656BEA"/>
    <w:rsid w:val="00660223"/>
    <w:rsid w:val="00660D68"/>
    <w:rsid w:val="00663FAC"/>
    <w:rsid w:val="00664162"/>
    <w:rsid w:val="006671DC"/>
    <w:rsid w:val="006708DD"/>
    <w:rsid w:val="00671106"/>
    <w:rsid w:val="0067130A"/>
    <w:rsid w:val="006721B5"/>
    <w:rsid w:val="006747CD"/>
    <w:rsid w:val="00686FA5"/>
    <w:rsid w:val="00687CA8"/>
    <w:rsid w:val="006908CF"/>
    <w:rsid w:val="00690938"/>
    <w:rsid w:val="006914CC"/>
    <w:rsid w:val="006915FB"/>
    <w:rsid w:val="00696F7A"/>
    <w:rsid w:val="006A0BFA"/>
    <w:rsid w:val="006A0DCB"/>
    <w:rsid w:val="006A1ABD"/>
    <w:rsid w:val="006A5D8D"/>
    <w:rsid w:val="006A6E7B"/>
    <w:rsid w:val="006A7FF3"/>
    <w:rsid w:val="006B143A"/>
    <w:rsid w:val="006B1DEB"/>
    <w:rsid w:val="006B49D4"/>
    <w:rsid w:val="006B5875"/>
    <w:rsid w:val="006B716F"/>
    <w:rsid w:val="006C5B0C"/>
    <w:rsid w:val="006C600F"/>
    <w:rsid w:val="006C6818"/>
    <w:rsid w:val="006C7B0B"/>
    <w:rsid w:val="006C7E78"/>
    <w:rsid w:val="006D0EA9"/>
    <w:rsid w:val="006D1AD7"/>
    <w:rsid w:val="006D4097"/>
    <w:rsid w:val="006D6838"/>
    <w:rsid w:val="006D6E28"/>
    <w:rsid w:val="006E00A4"/>
    <w:rsid w:val="006E29F5"/>
    <w:rsid w:val="006E437E"/>
    <w:rsid w:val="006E508A"/>
    <w:rsid w:val="006F10C6"/>
    <w:rsid w:val="006F288C"/>
    <w:rsid w:val="006F4217"/>
    <w:rsid w:val="006F5C79"/>
    <w:rsid w:val="00700CC5"/>
    <w:rsid w:val="0070266D"/>
    <w:rsid w:val="00702EB9"/>
    <w:rsid w:val="007044E5"/>
    <w:rsid w:val="00704BAA"/>
    <w:rsid w:val="00704D89"/>
    <w:rsid w:val="0070632A"/>
    <w:rsid w:val="00710BD2"/>
    <w:rsid w:val="007120E8"/>
    <w:rsid w:val="0071444C"/>
    <w:rsid w:val="00716488"/>
    <w:rsid w:val="007177DD"/>
    <w:rsid w:val="007179B4"/>
    <w:rsid w:val="00723225"/>
    <w:rsid w:val="00724A89"/>
    <w:rsid w:val="00726189"/>
    <w:rsid w:val="00731039"/>
    <w:rsid w:val="00731FCD"/>
    <w:rsid w:val="00732E94"/>
    <w:rsid w:val="007339F2"/>
    <w:rsid w:val="00733A8C"/>
    <w:rsid w:val="0073647E"/>
    <w:rsid w:val="007417A9"/>
    <w:rsid w:val="00741E90"/>
    <w:rsid w:val="00744120"/>
    <w:rsid w:val="0074536E"/>
    <w:rsid w:val="007521B6"/>
    <w:rsid w:val="00754929"/>
    <w:rsid w:val="00757150"/>
    <w:rsid w:val="0075730F"/>
    <w:rsid w:val="0075797A"/>
    <w:rsid w:val="007604BE"/>
    <w:rsid w:val="00760E28"/>
    <w:rsid w:val="00763DDF"/>
    <w:rsid w:val="0076420A"/>
    <w:rsid w:val="00765658"/>
    <w:rsid w:val="007744D9"/>
    <w:rsid w:val="00775049"/>
    <w:rsid w:val="0077610F"/>
    <w:rsid w:val="007821FA"/>
    <w:rsid w:val="00784048"/>
    <w:rsid w:val="007900ED"/>
    <w:rsid w:val="00790627"/>
    <w:rsid w:val="007A36CA"/>
    <w:rsid w:val="007A3D4C"/>
    <w:rsid w:val="007A4416"/>
    <w:rsid w:val="007A6D9A"/>
    <w:rsid w:val="007B2651"/>
    <w:rsid w:val="007B316F"/>
    <w:rsid w:val="007B33D1"/>
    <w:rsid w:val="007B48A7"/>
    <w:rsid w:val="007B5BEC"/>
    <w:rsid w:val="007B6FFD"/>
    <w:rsid w:val="007C1032"/>
    <w:rsid w:val="007C26E2"/>
    <w:rsid w:val="007C30E6"/>
    <w:rsid w:val="007C7652"/>
    <w:rsid w:val="007D2C01"/>
    <w:rsid w:val="007D5B8F"/>
    <w:rsid w:val="007E5F11"/>
    <w:rsid w:val="007F05E1"/>
    <w:rsid w:val="007F1ADA"/>
    <w:rsid w:val="007F3317"/>
    <w:rsid w:val="007F40C7"/>
    <w:rsid w:val="007F47E6"/>
    <w:rsid w:val="007F6FE1"/>
    <w:rsid w:val="007F71FA"/>
    <w:rsid w:val="00803C57"/>
    <w:rsid w:val="0080668B"/>
    <w:rsid w:val="00806E13"/>
    <w:rsid w:val="00806E9A"/>
    <w:rsid w:val="008146B4"/>
    <w:rsid w:val="00817291"/>
    <w:rsid w:val="00821B88"/>
    <w:rsid w:val="00822D65"/>
    <w:rsid w:val="00823202"/>
    <w:rsid w:val="00824550"/>
    <w:rsid w:val="0082540D"/>
    <w:rsid w:val="008260CF"/>
    <w:rsid w:val="00826E6C"/>
    <w:rsid w:val="008303BF"/>
    <w:rsid w:val="00831814"/>
    <w:rsid w:val="0083323D"/>
    <w:rsid w:val="00833258"/>
    <w:rsid w:val="008333EF"/>
    <w:rsid w:val="008339D9"/>
    <w:rsid w:val="00833E8B"/>
    <w:rsid w:val="008369AB"/>
    <w:rsid w:val="00841485"/>
    <w:rsid w:val="00844677"/>
    <w:rsid w:val="008454C1"/>
    <w:rsid w:val="008514C3"/>
    <w:rsid w:val="008516E6"/>
    <w:rsid w:val="008555E4"/>
    <w:rsid w:val="00857BED"/>
    <w:rsid w:val="00860322"/>
    <w:rsid w:val="008734D5"/>
    <w:rsid w:val="00873C4F"/>
    <w:rsid w:val="00873E67"/>
    <w:rsid w:val="008774A5"/>
    <w:rsid w:val="00883125"/>
    <w:rsid w:val="008849EC"/>
    <w:rsid w:val="008867C8"/>
    <w:rsid w:val="008868F4"/>
    <w:rsid w:val="00891C77"/>
    <w:rsid w:val="00892303"/>
    <w:rsid w:val="00893099"/>
    <w:rsid w:val="00893176"/>
    <w:rsid w:val="0089343E"/>
    <w:rsid w:val="008A05BA"/>
    <w:rsid w:val="008A07A0"/>
    <w:rsid w:val="008A619E"/>
    <w:rsid w:val="008A7252"/>
    <w:rsid w:val="008B0118"/>
    <w:rsid w:val="008B482D"/>
    <w:rsid w:val="008B4D62"/>
    <w:rsid w:val="008B73C3"/>
    <w:rsid w:val="008B7A08"/>
    <w:rsid w:val="008C39CD"/>
    <w:rsid w:val="008C7797"/>
    <w:rsid w:val="008D0DBE"/>
    <w:rsid w:val="008D37B2"/>
    <w:rsid w:val="008D425B"/>
    <w:rsid w:val="008D5854"/>
    <w:rsid w:val="008D7619"/>
    <w:rsid w:val="008E120D"/>
    <w:rsid w:val="008E25AF"/>
    <w:rsid w:val="008E5DD4"/>
    <w:rsid w:val="008F633E"/>
    <w:rsid w:val="00902990"/>
    <w:rsid w:val="00904D10"/>
    <w:rsid w:val="0091037B"/>
    <w:rsid w:val="009138A0"/>
    <w:rsid w:val="009156FF"/>
    <w:rsid w:val="0091609F"/>
    <w:rsid w:val="009172C1"/>
    <w:rsid w:val="0091737B"/>
    <w:rsid w:val="00917F69"/>
    <w:rsid w:val="0092084A"/>
    <w:rsid w:val="00920CDB"/>
    <w:rsid w:val="00921605"/>
    <w:rsid w:val="0092322F"/>
    <w:rsid w:val="009236CD"/>
    <w:rsid w:val="009274F3"/>
    <w:rsid w:val="009352AB"/>
    <w:rsid w:val="00942321"/>
    <w:rsid w:val="00943434"/>
    <w:rsid w:val="00944814"/>
    <w:rsid w:val="0094574D"/>
    <w:rsid w:val="00952EDD"/>
    <w:rsid w:val="00957FE8"/>
    <w:rsid w:val="009606F6"/>
    <w:rsid w:val="009616C2"/>
    <w:rsid w:val="00966B55"/>
    <w:rsid w:val="00967D80"/>
    <w:rsid w:val="00967F37"/>
    <w:rsid w:val="009711F7"/>
    <w:rsid w:val="00973A44"/>
    <w:rsid w:val="00974EC7"/>
    <w:rsid w:val="00981AA2"/>
    <w:rsid w:val="0098210D"/>
    <w:rsid w:val="00982E91"/>
    <w:rsid w:val="00983A9B"/>
    <w:rsid w:val="00984673"/>
    <w:rsid w:val="00992038"/>
    <w:rsid w:val="00992878"/>
    <w:rsid w:val="00997829"/>
    <w:rsid w:val="009A11D0"/>
    <w:rsid w:val="009A2879"/>
    <w:rsid w:val="009A6743"/>
    <w:rsid w:val="009B0235"/>
    <w:rsid w:val="009B58EE"/>
    <w:rsid w:val="009B6ADB"/>
    <w:rsid w:val="009B7BAC"/>
    <w:rsid w:val="009C2744"/>
    <w:rsid w:val="009C5353"/>
    <w:rsid w:val="009C7B43"/>
    <w:rsid w:val="009D1216"/>
    <w:rsid w:val="009D2849"/>
    <w:rsid w:val="009D3042"/>
    <w:rsid w:val="009D3465"/>
    <w:rsid w:val="009E052F"/>
    <w:rsid w:val="009E1919"/>
    <w:rsid w:val="009E214E"/>
    <w:rsid w:val="009E22FE"/>
    <w:rsid w:val="009E246F"/>
    <w:rsid w:val="009E5DF3"/>
    <w:rsid w:val="009E71DE"/>
    <w:rsid w:val="009F3ED0"/>
    <w:rsid w:val="009F64E4"/>
    <w:rsid w:val="00A0141F"/>
    <w:rsid w:val="00A02DB9"/>
    <w:rsid w:val="00A03A7C"/>
    <w:rsid w:val="00A05E3A"/>
    <w:rsid w:val="00A10AD6"/>
    <w:rsid w:val="00A11968"/>
    <w:rsid w:val="00A208F1"/>
    <w:rsid w:val="00A20C44"/>
    <w:rsid w:val="00A25267"/>
    <w:rsid w:val="00A25399"/>
    <w:rsid w:val="00A259A1"/>
    <w:rsid w:val="00A267B2"/>
    <w:rsid w:val="00A350C9"/>
    <w:rsid w:val="00A36D8D"/>
    <w:rsid w:val="00A44541"/>
    <w:rsid w:val="00A44AD7"/>
    <w:rsid w:val="00A45CA2"/>
    <w:rsid w:val="00A4769D"/>
    <w:rsid w:val="00A525AE"/>
    <w:rsid w:val="00A528EE"/>
    <w:rsid w:val="00A52E29"/>
    <w:rsid w:val="00A55F70"/>
    <w:rsid w:val="00A6345A"/>
    <w:rsid w:val="00A6795A"/>
    <w:rsid w:val="00A75304"/>
    <w:rsid w:val="00A777BF"/>
    <w:rsid w:val="00A77B99"/>
    <w:rsid w:val="00A84ADB"/>
    <w:rsid w:val="00A85E1A"/>
    <w:rsid w:val="00A90E34"/>
    <w:rsid w:val="00A919BA"/>
    <w:rsid w:val="00A94305"/>
    <w:rsid w:val="00A97377"/>
    <w:rsid w:val="00AA06CA"/>
    <w:rsid w:val="00AA209B"/>
    <w:rsid w:val="00AA41B7"/>
    <w:rsid w:val="00AA5004"/>
    <w:rsid w:val="00AA677C"/>
    <w:rsid w:val="00AA72C2"/>
    <w:rsid w:val="00AA7829"/>
    <w:rsid w:val="00AB7841"/>
    <w:rsid w:val="00AB7EB6"/>
    <w:rsid w:val="00AC5355"/>
    <w:rsid w:val="00AC76DF"/>
    <w:rsid w:val="00AC7EBD"/>
    <w:rsid w:val="00AD07A4"/>
    <w:rsid w:val="00AD11D2"/>
    <w:rsid w:val="00AD14C7"/>
    <w:rsid w:val="00AD5F4D"/>
    <w:rsid w:val="00AD65CC"/>
    <w:rsid w:val="00AD7756"/>
    <w:rsid w:val="00AD7CA0"/>
    <w:rsid w:val="00AE08CC"/>
    <w:rsid w:val="00AE7AE5"/>
    <w:rsid w:val="00AF109A"/>
    <w:rsid w:val="00AF7866"/>
    <w:rsid w:val="00B00AEF"/>
    <w:rsid w:val="00B02176"/>
    <w:rsid w:val="00B0341D"/>
    <w:rsid w:val="00B045D9"/>
    <w:rsid w:val="00B04B7A"/>
    <w:rsid w:val="00B05785"/>
    <w:rsid w:val="00B11168"/>
    <w:rsid w:val="00B13228"/>
    <w:rsid w:val="00B17E71"/>
    <w:rsid w:val="00B209FC"/>
    <w:rsid w:val="00B23C36"/>
    <w:rsid w:val="00B26188"/>
    <w:rsid w:val="00B305EC"/>
    <w:rsid w:val="00B306A9"/>
    <w:rsid w:val="00B33BB5"/>
    <w:rsid w:val="00B36E68"/>
    <w:rsid w:val="00B44D80"/>
    <w:rsid w:val="00B44E13"/>
    <w:rsid w:val="00B46CF0"/>
    <w:rsid w:val="00B55359"/>
    <w:rsid w:val="00B56062"/>
    <w:rsid w:val="00B6443F"/>
    <w:rsid w:val="00B75CBF"/>
    <w:rsid w:val="00B75EFB"/>
    <w:rsid w:val="00B80349"/>
    <w:rsid w:val="00B831D4"/>
    <w:rsid w:val="00B8384E"/>
    <w:rsid w:val="00B87398"/>
    <w:rsid w:val="00B91C7E"/>
    <w:rsid w:val="00B9235A"/>
    <w:rsid w:val="00B927D5"/>
    <w:rsid w:val="00B94BA8"/>
    <w:rsid w:val="00B96A1A"/>
    <w:rsid w:val="00B97B1B"/>
    <w:rsid w:val="00BA317B"/>
    <w:rsid w:val="00BA3356"/>
    <w:rsid w:val="00BA35FB"/>
    <w:rsid w:val="00BA571C"/>
    <w:rsid w:val="00BA607C"/>
    <w:rsid w:val="00BB35AD"/>
    <w:rsid w:val="00BB3C96"/>
    <w:rsid w:val="00BB5441"/>
    <w:rsid w:val="00BB5F60"/>
    <w:rsid w:val="00BC3B7D"/>
    <w:rsid w:val="00BC5AD3"/>
    <w:rsid w:val="00BC607C"/>
    <w:rsid w:val="00BD1F26"/>
    <w:rsid w:val="00BD312C"/>
    <w:rsid w:val="00BD3C15"/>
    <w:rsid w:val="00BD4F14"/>
    <w:rsid w:val="00BD6002"/>
    <w:rsid w:val="00BD78F4"/>
    <w:rsid w:val="00BE475D"/>
    <w:rsid w:val="00BE5E33"/>
    <w:rsid w:val="00BE76D4"/>
    <w:rsid w:val="00BF0725"/>
    <w:rsid w:val="00BF1742"/>
    <w:rsid w:val="00BF5A9A"/>
    <w:rsid w:val="00BF77F2"/>
    <w:rsid w:val="00C00770"/>
    <w:rsid w:val="00C00CFF"/>
    <w:rsid w:val="00C03121"/>
    <w:rsid w:val="00C059D5"/>
    <w:rsid w:val="00C07518"/>
    <w:rsid w:val="00C07790"/>
    <w:rsid w:val="00C07C5E"/>
    <w:rsid w:val="00C10C35"/>
    <w:rsid w:val="00C10F38"/>
    <w:rsid w:val="00C13319"/>
    <w:rsid w:val="00C1435D"/>
    <w:rsid w:val="00C17D4B"/>
    <w:rsid w:val="00C25853"/>
    <w:rsid w:val="00C25CF8"/>
    <w:rsid w:val="00C26169"/>
    <w:rsid w:val="00C26F97"/>
    <w:rsid w:val="00C342D6"/>
    <w:rsid w:val="00C3591A"/>
    <w:rsid w:val="00C42B03"/>
    <w:rsid w:val="00C43397"/>
    <w:rsid w:val="00C44B92"/>
    <w:rsid w:val="00C47217"/>
    <w:rsid w:val="00C5071C"/>
    <w:rsid w:val="00C51791"/>
    <w:rsid w:val="00C5604A"/>
    <w:rsid w:val="00C60593"/>
    <w:rsid w:val="00C61237"/>
    <w:rsid w:val="00C61899"/>
    <w:rsid w:val="00C64185"/>
    <w:rsid w:val="00C64686"/>
    <w:rsid w:val="00C648B5"/>
    <w:rsid w:val="00C66E8F"/>
    <w:rsid w:val="00C67474"/>
    <w:rsid w:val="00C675CC"/>
    <w:rsid w:val="00C71C10"/>
    <w:rsid w:val="00C73CFF"/>
    <w:rsid w:val="00C81AC8"/>
    <w:rsid w:val="00C82A2A"/>
    <w:rsid w:val="00C82EDE"/>
    <w:rsid w:val="00C85F12"/>
    <w:rsid w:val="00C87B8F"/>
    <w:rsid w:val="00C91A2E"/>
    <w:rsid w:val="00C92A99"/>
    <w:rsid w:val="00C93E55"/>
    <w:rsid w:val="00C974D1"/>
    <w:rsid w:val="00CA1F76"/>
    <w:rsid w:val="00CA2FB3"/>
    <w:rsid w:val="00CA3252"/>
    <w:rsid w:val="00CA352C"/>
    <w:rsid w:val="00CA38F4"/>
    <w:rsid w:val="00CA5BB8"/>
    <w:rsid w:val="00CA74E8"/>
    <w:rsid w:val="00CB4080"/>
    <w:rsid w:val="00CB6A45"/>
    <w:rsid w:val="00CC26A4"/>
    <w:rsid w:val="00CC526D"/>
    <w:rsid w:val="00CE5965"/>
    <w:rsid w:val="00CE7182"/>
    <w:rsid w:val="00CF11B9"/>
    <w:rsid w:val="00CF1580"/>
    <w:rsid w:val="00CF699D"/>
    <w:rsid w:val="00CF7C80"/>
    <w:rsid w:val="00D004C2"/>
    <w:rsid w:val="00D02DB7"/>
    <w:rsid w:val="00D03206"/>
    <w:rsid w:val="00D05746"/>
    <w:rsid w:val="00D06B1D"/>
    <w:rsid w:val="00D075EB"/>
    <w:rsid w:val="00D102FC"/>
    <w:rsid w:val="00D12CD5"/>
    <w:rsid w:val="00D16189"/>
    <w:rsid w:val="00D169CB"/>
    <w:rsid w:val="00D17162"/>
    <w:rsid w:val="00D2002E"/>
    <w:rsid w:val="00D2031B"/>
    <w:rsid w:val="00D218D9"/>
    <w:rsid w:val="00D21B70"/>
    <w:rsid w:val="00D2255D"/>
    <w:rsid w:val="00D2388D"/>
    <w:rsid w:val="00D245DA"/>
    <w:rsid w:val="00D26578"/>
    <w:rsid w:val="00D26928"/>
    <w:rsid w:val="00D314B7"/>
    <w:rsid w:val="00D352A2"/>
    <w:rsid w:val="00D36CDE"/>
    <w:rsid w:val="00D46129"/>
    <w:rsid w:val="00D4693C"/>
    <w:rsid w:val="00D46C93"/>
    <w:rsid w:val="00D471B5"/>
    <w:rsid w:val="00D532F9"/>
    <w:rsid w:val="00D5440B"/>
    <w:rsid w:val="00D548D2"/>
    <w:rsid w:val="00D54E37"/>
    <w:rsid w:val="00D57BE0"/>
    <w:rsid w:val="00D620F0"/>
    <w:rsid w:val="00D633DC"/>
    <w:rsid w:val="00D6355C"/>
    <w:rsid w:val="00D64713"/>
    <w:rsid w:val="00D6598E"/>
    <w:rsid w:val="00D70F7D"/>
    <w:rsid w:val="00D7723D"/>
    <w:rsid w:val="00D773F5"/>
    <w:rsid w:val="00D802DD"/>
    <w:rsid w:val="00D81C85"/>
    <w:rsid w:val="00D82E53"/>
    <w:rsid w:val="00D853FB"/>
    <w:rsid w:val="00D87B0A"/>
    <w:rsid w:val="00D9072D"/>
    <w:rsid w:val="00D90F7A"/>
    <w:rsid w:val="00D91096"/>
    <w:rsid w:val="00D9152D"/>
    <w:rsid w:val="00D91B29"/>
    <w:rsid w:val="00D9355F"/>
    <w:rsid w:val="00D944CF"/>
    <w:rsid w:val="00D94FC9"/>
    <w:rsid w:val="00D95466"/>
    <w:rsid w:val="00D95BB6"/>
    <w:rsid w:val="00D9626F"/>
    <w:rsid w:val="00D97BB8"/>
    <w:rsid w:val="00DA0356"/>
    <w:rsid w:val="00DA43A6"/>
    <w:rsid w:val="00DA51D3"/>
    <w:rsid w:val="00DA71AC"/>
    <w:rsid w:val="00DA782E"/>
    <w:rsid w:val="00DA7D85"/>
    <w:rsid w:val="00DB29E8"/>
    <w:rsid w:val="00DB3A54"/>
    <w:rsid w:val="00DB5024"/>
    <w:rsid w:val="00DB5179"/>
    <w:rsid w:val="00DB5543"/>
    <w:rsid w:val="00DB6DF4"/>
    <w:rsid w:val="00DB79A8"/>
    <w:rsid w:val="00DB7AE6"/>
    <w:rsid w:val="00DC0787"/>
    <w:rsid w:val="00DC1399"/>
    <w:rsid w:val="00DC2714"/>
    <w:rsid w:val="00DC587D"/>
    <w:rsid w:val="00DC59DD"/>
    <w:rsid w:val="00DD09C2"/>
    <w:rsid w:val="00DD683D"/>
    <w:rsid w:val="00DE0C3B"/>
    <w:rsid w:val="00DE36C8"/>
    <w:rsid w:val="00DE39FC"/>
    <w:rsid w:val="00DE5DD7"/>
    <w:rsid w:val="00DE6121"/>
    <w:rsid w:val="00DE7C8D"/>
    <w:rsid w:val="00DF2B89"/>
    <w:rsid w:val="00DF3558"/>
    <w:rsid w:val="00DF6F13"/>
    <w:rsid w:val="00E02F89"/>
    <w:rsid w:val="00E071CE"/>
    <w:rsid w:val="00E07A32"/>
    <w:rsid w:val="00E1050D"/>
    <w:rsid w:val="00E11CC7"/>
    <w:rsid w:val="00E16E16"/>
    <w:rsid w:val="00E178B1"/>
    <w:rsid w:val="00E17C02"/>
    <w:rsid w:val="00E20FDE"/>
    <w:rsid w:val="00E21C9B"/>
    <w:rsid w:val="00E223FA"/>
    <w:rsid w:val="00E245CE"/>
    <w:rsid w:val="00E26310"/>
    <w:rsid w:val="00E306A4"/>
    <w:rsid w:val="00E30A50"/>
    <w:rsid w:val="00E3100A"/>
    <w:rsid w:val="00E337F7"/>
    <w:rsid w:val="00E33C83"/>
    <w:rsid w:val="00E34381"/>
    <w:rsid w:val="00E34F78"/>
    <w:rsid w:val="00E35ED7"/>
    <w:rsid w:val="00E36F27"/>
    <w:rsid w:val="00E36FF3"/>
    <w:rsid w:val="00E405B3"/>
    <w:rsid w:val="00E41BB0"/>
    <w:rsid w:val="00E42BDA"/>
    <w:rsid w:val="00E4614D"/>
    <w:rsid w:val="00E468FA"/>
    <w:rsid w:val="00E4764D"/>
    <w:rsid w:val="00E54DF6"/>
    <w:rsid w:val="00E55EBF"/>
    <w:rsid w:val="00E6067D"/>
    <w:rsid w:val="00E64FFA"/>
    <w:rsid w:val="00E65B5C"/>
    <w:rsid w:val="00E65F01"/>
    <w:rsid w:val="00E75EC8"/>
    <w:rsid w:val="00E764A6"/>
    <w:rsid w:val="00E766D9"/>
    <w:rsid w:val="00E76D04"/>
    <w:rsid w:val="00E83AAD"/>
    <w:rsid w:val="00E84A40"/>
    <w:rsid w:val="00E869F8"/>
    <w:rsid w:val="00E93BC3"/>
    <w:rsid w:val="00E94479"/>
    <w:rsid w:val="00EA7A94"/>
    <w:rsid w:val="00EA7CC6"/>
    <w:rsid w:val="00EB1BF7"/>
    <w:rsid w:val="00EB27DB"/>
    <w:rsid w:val="00EB34B5"/>
    <w:rsid w:val="00EB65B0"/>
    <w:rsid w:val="00EC12CA"/>
    <w:rsid w:val="00EC153B"/>
    <w:rsid w:val="00EC1D48"/>
    <w:rsid w:val="00EC3A9D"/>
    <w:rsid w:val="00EC3B36"/>
    <w:rsid w:val="00EC437E"/>
    <w:rsid w:val="00EC57A9"/>
    <w:rsid w:val="00EC6161"/>
    <w:rsid w:val="00ED14FF"/>
    <w:rsid w:val="00ED1CEF"/>
    <w:rsid w:val="00ED64C6"/>
    <w:rsid w:val="00EE41C6"/>
    <w:rsid w:val="00EE4949"/>
    <w:rsid w:val="00EE5177"/>
    <w:rsid w:val="00EE5676"/>
    <w:rsid w:val="00EE5BDB"/>
    <w:rsid w:val="00EE78F0"/>
    <w:rsid w:val="00EF1F16"/>
    <w:rsid w:val="00EF5BD5"/>
    <w:rsid w:val="00EF62B8"/>
    <w:rsid w:val="00F026F9"/>
    <w:rsid w:val="00F0340E"/>
    <w:rsid w:val="00F04A7B"/>
    <w:rsid w:val="00F135D5"/>
    <w:rsid w:val="00F15992"/>
    <w:rsid w:val="00F21E1E"/>
    <w:rsid w:val="00F23909"/>
    <w:rsid w:val="00F23C04"/>
    <w:rsid w:val="00F24F28"/>
    <w:rsid w:val="00F24FF9"/>
    <w:rsid w:val="00F26D03"/>
    <w:rsid w:val="00F27D5F"/>
    <w:rsid w:val="00F27F64"/>
    <w:rsid w:val="00F33506"/>
    <w:rsid w:val="00F34E20"/>
    <w:rsid w:val="00F41976"/>
    <w:rsid w:val="00F43822"/>
    <w:rsid w:val="00F43C31"/>
    <w:rsid w:val="00F444D3"/>
    <w:rsid w:val="00F4788F"/>
    <w:rsid w:val="00F50D7F"/>
    <w:rsid w:val="00F55DE9"/>
    <w:rsid w:val="00F5714D"/>
    <w:rsid w:val="00F60E08"/>
    <w:rsid w:val="00F620CE"/>
    <w:rsid w:val="00F62C29"/>
    <w:rsid w:val="00F644AE"/>
    <w:rsid w:val="00F663E4"/>
    <w:rsid w:val="00F6721E"/>
    <w:rsid w:val="00F70DBF"/>
    <w:rsid w:val="00F72B5E"/>
    <w:rsid w:val="00F75F3F"/>
    <w:rsid w:val="00F766D0"/>
    <w:rsid w:val="00F823EF"/>
    <w:rsid w:val="00F9122F"/>
    <w:rsid w:val="00F9223D"/>
    <w:rsid w:val="00F9320C"/>
    <w:rsid w:val="00F9386E"/>
    <w:rsid w:val="00F95336"/>
    <w:rsid w:val="00F9678E"/>
    <w:rsid w:val="00F97244"/>
    <w:rsid w:val="00FA0495"/>
    <w:rsid w:val="00FA2460"/>
    <w:rsid w:val="00FA41D9"/>
    <w:rsid w:val="00FB69FC"/>
    <w:rsid w:val="00FC231B"/>
    <w:rsid w:val="00FC41A2"/>
    <w:rsid w:val="00FC5A40"/>
    <w:rsid w:val="00FC6E53"/>
    <w:rsid w:val="00FC7306"/>
    <w:rsid w:val="00FD05C7"/>
    <w:rsid w:val="00FD23C2"/>
    <w:rsid w:val="00FD5473"/>
    <w:rsid w:val="00FD6A9E"/>
    <w:rsid w:val="00FD74C3"/>
    <w:rsid w:val="00FE1A6D"/>
    <w:rsid w:val="00FE2937"/>
    <w:rsid w:val="00FE338B"/>
    <w:rsid w:val="00FE597B"/>
    <w:rsid w:val="00FE5CD9"/>
    <w:rsid w:val="00FE6A6C"/>
    <w:rsid w:val="00FE7B68"/>
    <w:rsid w:val="00FF069B"/>
    <w:rsid w:val="00FF10EC"/>
    <w:rsid w:val="00FF11D3"/>
    <w:rsid w:val="00FF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8A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0"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link w:val="Heading1"/>
    <w:rsid w:val="00A11968"/>
    <w:rPr>
      <w:b/>
      <w:sz w:val="22"/>
      <w:u w:val="single"/>
    </w:rPr>
  </w:style>
  <w:style w:type="character" w:customStyle="1" w:styleId="Heading3Char">
    <w:name w:val="Heading 3 Char"/>
    <w:link w:val="Heading3"/>
    <w:rsid w:val="00A11968"/>
    <w:rPr>
      <w:i/>
      <w:sz w:val="18"/>
    </w:rPr>
  </w:style>
  <w:style w:type="character" w:customStyle="1" w:styleId="Heading4Char">
    <w:name w:val="Heading 4 Char"/>
    <w:link w:val="Heading4"/>
    <w:rsid w:val="00A11968"/>
    <w:rPr>
      <w:b/>
      <w:sz w:val="24"/>
    </w:rPr>
  </w:style>
  <w:style w:type="character" w:customStyle="1" w:styleId="Heading7Char">
    <w:name w:val="Heading 7 Char"/>
    <w:link w:val="Heading7"/>
    <w:rsid w:val="00A11968"/>
    <w:rPr>
      <w:b/>
      <w:i/>
      <w:u w:val="single"/>
    </w:rPr>
  </w:style>
  <w:style w:type="character" w:customStyle="1" w:styleId="Heading8Char">
    <w:name w:val="Heading 8 Char"/>
    <w:link w:val="Heading8"/>
    <w:rsid w:val="00A11968"/>
    <w:rPr>
      <w:b/>
      <w:sz w:val="22"/>
    </w:rPr>
  </w:style>
  <w:style w:type="character" w:customStyle="1" w:styleId="FooterChar">
    <w:name w:val="Footer Char"/>
    <w:link w:val="Footer"/>
    <w:uiPriority w:val="99"/>
    <w:rsid w:val="00A11968"/>
    <w:rPr>
      <w:snapToGrid/>
      <w:sz w:val="22"/>
    </w:rPr>
  </w:style>
  <w:style w:type="character" w:customStyle="1" w:styleId="BodyTextChar">
    <w:name w:val="Body Text Char"/>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rPr>
  </w:style>
  <w:style w:type="character" w:customStyle="1" w:styleId="BodyText2Char">
    <w:name w:val="Body Text 2 Char"/>
    <w:link w:val="BodyText2"/>
    <w:rsid w:val="00EC6161"/>
    <w:rPr>
      <w:sz w:val="24"/>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rPr>
  </w:style>
  <w:style w:type="character" w:customStyle="1" w:styleId="PlainTextChar">
    <w:name w:val="Plain Text Char"/>
    <w:link w:val="PlainText"/>
    <w:rsid w:val="00B02176"/>
    <w:rPr>
      <w:rFonts w:ascii="Courier New" w:hAnsi="Courier New"/>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Calibri" w:hAnsi="Calibr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link w:val="Heading6"/>
    <w:uiPriority w:val="9"/>
    <w:semiHidden/>
    <w:rsid w:val="00D95466"/>
    <w:rPr>
      <w:rFonts w:ascii="Cambria" w:eastAsia="Times New Roman" w:hAnsi="Cambria" w:cs="Times New Roman"/>
      <w:i/>
      <w:iCs/>
      <w:color w:val="243F60"/>
      <w:sz w:val="24"/>
      <w:szCs w:val="24"/>
    </w:rPr>
  </w:style>
  <w:style w:type="paragraph" w:customStyle="1" w:styleId="default">
    <w:name w:val="default"/>
    <w:basedOn w:val="Normal"/>
    <w:rsid w:val="00904D10"/>
    <w:pPr>
      <w:spacing w:before="100" w:beforeAutospacing="1" w:after="100" w:afterAutospacing="1"/>
    </w:pPr>
  </w:style>
  <w:style w:type="paragraph" w:styleId="EndnoteText">
    <w:name w:val="endnote text"/>
    <w:basedOn w:val="Normal"/>
    <w:link w:val="EndnoteTextChar"/>
    <w:semiHidden/>
    <w:rsid w:val="004C361D"/>
    <w:pPr>
      <w:widowControl w:val="0"/>
    </w:pPr>
    <w:rPr>
      <w:rFonts w:ascii="TmsRmn 12pt" w:hAnsi="TmsRmn 12pt"/>
      <w:szCs w:val="20"/>
    </w:rPr>
  </w:style>
  <w:style w:type="character" w:customStyle="1" w:styleId="EndnoteTextChar">
    <w:name w:val="Endnote Text Char"/>
    <w:link w:val="EndnoteText"/>
    <w:semiHidden/>
    <w:rsid w:val="004C361D"/>
    <w:rPr>
      <w:rFonts w:ascii="TmsRmn 12pt" w:hAnsi="TmsRmn 12pt"/>
      <w:sz w:val="24"/>
    </w:rPr>
  </w:style>
  <w:style w:type="character" w:styleId="Strong">
    <w:name w:val="Strong"/>
    <w:uiPriority w:val="22"/>
    <w:qFormat/>
    <w:rsid w:val="00AA2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17600">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78632">
      <w:bodyDiv w:val="1"/>
      <w:marLeft w:val="0"/>
      <w:marRight w:val="0"/>
      <w:marTop w:val="0"/>
      <w:marBottom w:val="0"/>
      <w:divBdr>
        <w:top w:val="none" w:sz="0" w:space="0" w:color="auto"/>
        <w:left w:val="none" w:sz="0" w:space="0" w:color="auto"/>
        <w:bottom w:val="none" w:sz="0" w:space="0" w:color="auto"/>
        <w:right w:val="none" w:sz="0" w:space="0" w:color="auto"/>
      </w:divBdr>
    </w:div>
    <w:div w:id="994378974">
      <w:bodyDiv w:val="1"/>
      <w:marLeft w:val="0"/>
      <w:marRight w:val="0"/>
      <w:marTop w:val="0"/>
      <w:marBottom w:val="0"/>
      <w:divBdr>
        <w:top w:val="none" w:sz="0" w:space="0" w:color="auto"/>
        <w:left w:val="none" w:sz="0" w:space="0" w:color="auto"/>
        <w:bottom w:val="none" w:sz="0" w:space="0" w:color="auto"/>
        <w:right w:val="none" w:sz="0" w:space="0" w:color="auto"/>
      </w:divBdr>
      <w:divsChild>
        <w:div w:id="1148087446">
          <w:marLeft w:val="369"/>
          <w:marRight w:val="0"/>
          <w:marTop w:val="0"/>
          <w:marBottom w:val="0"/>
          <w:divBdr>
            <w:top w:val="none" w:sz="0" w:space="0" w:color="auto"/>
            <w:left w:val="none" w:sz="0" w:space="0" w:color="auto"/>
            <w:bottom w:val="none" w:sz="0" w:space="0" w:color="auto"/>
            <w:right w:val="none" w:sz="0" w:space="0" w:color="auto"/>
          </w:divBdr>
          <w:divsChild>
            <w:div w:id="201216991">
              <w:marLeft w:val="0"/>
              <w:marRight w:val="0"/>
              <w:marTop w:val="0"/>
              <w:marBottom w:val="0"/>
              <w:divBdr>
                <w:top w:val="none" w:sz="0" w:space="0" w:color="auto"/>
                <w:left w:val="none" w:sz="0" w:space="0" w:color="auto"/>
                <w:bottom w:val="none" w:sz="0" w:space="0" w:color="auto"/>
                <w:right w:val="none" w:sz="0" w:space="0" w:color="auto"/>
              </w:divBdr>
            </w:div>
          </w:divsChild>
        </w:div>
        <w:div w:id="1439332969">
          <w:marLeft w:val="0"/>
          <w:marRight w:val="0"/>
          <w:marTop w:val="0"/>
          <w:marBottom w:val="0"/>
          <w:divBdr>
            <w:top w:val="none" w:sz="0" w:space="0" w:color="auto"/>
            <w:left w:val="none" w:sz="0" w:space="0" w:color="auto"/>
            <w:bottom w:val="none" w:sz="0" w:space="0" w:color="auto"/>
            <w:right w:val="none" w:sz="0" w:space="0" w:color="auto"/>
          </w:divBdr>
          <w:divsChild>
            <w:div w:id="18978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050498267">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09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8537">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2868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c.edu/student-affairs/SJA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mpus.us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camp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c.edu/disability" TargetMode="External"/><Relationship Id="rId4" Type="http://schemas.openxmlformats.org/officeDocument/2006/relationships/settings" Target="settings.xml"/><Relationship Id="rId9" Type="http://schemas.openxmlformats.org/officeDocument/2006/relationships/hyperlink" Target="http://blackboard.us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6C4D8-8A59-4433-A541-7FCD96AC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16766</CharactersWithSpaces>
  <SharedDoc>false</SharedDoc>
  <HLinks>
    <vt:vector size="30" baseType="variant">
      <vt:variant>
        <vt:i4>4587590</vt:i4>
      </vt:variant>
      <vt:variant>
        <vt:i4>12</vt:i4>
      </vt:variant>
      <vt:variant>
        <vt:i4>0</vt:i4>
      </vt:variant>
      <vt:variant>
        <vt:i4>5</vt:i4>
      </vt:variant>
      <vt:variant>
        <vt:lpwstr>http://www.usc.edu/student-affairs/SJACS/</vt:lpwstr>
      </vt:variant>
      <vt:variant>
        <vt:lpwstr/>
      </vt:variant>
      <vt:variant>
        <vt:i4>3932261</vt:i4>
      </vt:variant>
      <vt:variant>
        <vt:i4>9</vt:i4>
      </vt:variant>
      <vt:variant>
        <vt:i4>0</vt:i4>
      </vt:variant>
      <vt:variant>
        <vt:i4>5</vt:i4>
      </vt:variant>
      <vt:variant>
        <vt:lpwstr>http://scampus.usc.edu/</vt:lpwstr>
      </vt:variant>
      <vt:variant>
        <vt:lpwstr/>
      </vt:variant>
      <vt:variant>
        <vt:i4>3932221</vt:i4>
      </vt:variant>
      <vt:variant>
        <vt:i4>6</vt:i4>
      </vt:variant>
      <vt:variant>
        <vt:i4>0</vt:i4>
      </vt:variant>
      <vt:variant>
        <vt:i4>5</vt:i4>
      </vt:variant>
      <vt:variant>
        <vt:lpwstr>http://www.usc.edu/scampus</vt:lpwstr>
      </vt:variant>
      <vt:variant>
        <vt:lpwstr/>
      </vt:variant>
      <vt:variant>
        <vt:i4>4194382</vt:i4>
      </vt:variant>
      <vt:variant>
        <vt:i4>3</vt:i4>
      </vt:variant>
      <vt:variant>
        <vt:i4>0</vt:i4>
      </vt:variant>
      <vt:variant>
        <vt:i4>5</vt:i4>
      </vt:variant>
      <vt:variant>
        <vt:lpwstr>http://www.usc.edu/disability</vt:lpwstr>
      </vt:variant>
      <vt:variant>
        <vt:lpwstr/>
      </vt:variant>
      <vt:variant>
        <vt:i4>6684775</vt:i4>
      </vt:variant>
      <vt:variant>
        <vt:i4>0</vt:i4>
      </vt:variant>
      <vt:variant>
        <vt:i4>0</vt:i4>
      </vt:variant>
      <vt:variant>
        <vt:i4>5</vt:i4>
      </vt:variant>
      <vt:variant>
        <vt:lpwstr>http://blackboard.usc.edu/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2017-01-04T16:29:00Z</dcterms:created>
  <dcterms:modified xsi:type="dcterms:W3CDTF">2017-01-04T16:29:00Z</dcterms:modified>
</cp:coreProperties>
</file>