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A9" w:rsidRDefault="009852A9" w:rsidP="00E73875">
      <w:pPr>
        <w:rPr>
          <w:b/>
          <w:sz w:val="28"/>
          <w:szCs w:val="28"/>
        </w:rPr>
      </w:pPr>
      <w:r w:rsidRPr="009852A9">
        <w:rPr>
          <w:b/>
          <w:noProof/>
          <w:sz w:val="28"/>
          <w:szCs w:val="28"/>
        </w:rPr>
        <w:drawing>
          <wp:inline distT="0" distB="0" distL="0" distR="0">
            <wp:extent cx="6660972" cy="1363466"/>
            <wp:effectExtent l="19050" t="0" r="6528"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8" cstate="print"/>
                    <a:srcRect/>
                    <a:stretch>
                      <a:fillRect/>
                    </a:stretch>
                  </pic:blipFill>
                  <pic:spPr bwMode="auto">
                    <a:xfrm>
                      <a:off x="0" y="0"/>
                      <a:ext cx="6657466" cy="1362748"/>
                    </a:xfrm>
                    <a:prstGeom prst="rect">
                      <a:avLst/>
                    </a:prstGeom>
                    <a:noFill/>
                    <a:ln w="9525">
                      <a:noFill/>
                      <a:miter lim="800000"/>
                      <a:headEnd/>
                      <a:tailEnd/>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w:t>
      </w:r>
      <w:proofErr w:type="gramStart"/>
      <w:r w:rsidR="00CE1F94">
        <w:rPr>
          <w:b/>
          <w:bCs/>
          <w:color w:val="C00000"/>
          <w:sz w:val="24"/>
          <w:szCs w:val="24"/>
        </w:rPr>
        <w:t>In</w:t>
      </w:r>
      <w:proofErr w:type="gramEnd"/>
      <w:r w:rsidR="00CE1F94">
        <w:rPr>
          <w:b/>
          <w:bCs/>
          <w:color w:val="C00000"/>
          <w:sz w:val="24"/>
          <w:szCs w:val="24"/>
        </w:rPr>
        <w:t xml:space="preserve">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tblPr>
      <w:tblGrid>
        <w:gridCol w:w="2337"/>
        <w:gridCol w:w="2934"/>
        <w:gridCol w:w="1970"/>
        <w:gridCol w:w="2677"/>
      </w:tblGrid>
      <w:tr w:rsidR="009852A9" w:rsidRPr="009852A9" w:rsidTr="00201D93">
        <w:trPr>
          <w:cantSplit/>
        </w:trPr>
        <w:tc>
          <w:tcPr>
            <w:tcW w:w="1620" w:type="dxa"/>
          </w:tcPr>
          <w:p w:rsidR="00201D93" w:rsidRPr="009852A9" w:rsidRDefault="009852A9" w:rsidP="00201D93">
            <w:pPr>
              <w:tabs>
                <w:tab w:val="left" w:pos="1620"/>
              </w:tabs>
              <w:rPr>
                <w:b/>
                <w:bCs/>
                <w:sz w:val="24"/>
                <w:szCs w:val="24"/>
              </w:rPr>
            </w:pPr>
            <w:r w:rsidRPr="009852A9">
              <w:rPr>
                <w:b/>
                <w:bCs/>
                <w:sz w:val="24"/>
                <w:szCs w:val="24"/>
              </w:rPr>
              <w:t xml:space="preserve">Instructor: </w:t>
            </w:r>
            <w:r w:rsidR="00201D93">
              <w:rPr>
                <w:b/>
                <w:bCs/>
                <w:sz w:val="24"/>
                <w:szCs w:val="24"/>
              </w:rPr>
              <w:t xml:space="preserve"> Montemayor</w:t>
            </w:r>
          </w:p>
        </w:tc>
        <w:tc>
          <w:tcPr>
            <w:tcW w:w="8298" w:type="dxa"/>
            <w:gridSpan w:val="3"/>
          </w:tcPr>
          <w:p w:rsidR="009852A9" w:rsidRPr="009852A9" w:rsidRDefault="009852A9" w:rsidP="00201D93">
            <w:pPr>
              <w:tabs>
                <w:tab w:val="left" w:pos="1620"/>
              </w:tabs>
              <w:rPr>
                <w:bCs/>
                <w:sz w:val="24"/>
                <w:szCs w:val="24"/>
              </w:rPr>
            </w:pPr>
          </w:p>
        </w:tc>
      </w:tr>
      <w:tr w:rsidR="009852A9" w:rsidRPr="009852A9" w:rsidTr="00201D93">
        <w:trPr>
          <w:cantSplit/>
        </w:trPr>
        <w:tc>
          <w:tcPr>
            <w:tcW w:w="1620" w:type="dxa"/>
          </w:tcPr>
          <w:p w:rsidR="009852A9" w:rsidRPr="009852A9" w:rsidRDefault="009852A9" w:rsidP="00201D93">
            <w:pPr>
              <w:tabs>
                <w:tab w:val="left" w:pos="1620"/>
              </w:tabs>
              <w:rPr>
                <w:b/>
                <w:bCs/>
                <w:sz w:val="24"/>
                <w:szCs w:val="24"/>
              </w:rPr>
            </w:pPr>
            <w:r w:rsidRPr="009852A9">
              <w:rPr>
                <w:b/>
                <w:bCs/>
                <w:sz w:val="24"/>
                <w:szCs w:val="24"/>
              </w:rPr>
              <w:t xml:space="preserve">E-Mail: </w:t>
            </w:r>
            <w:r w:rsidR="00201D93">
              <w:rPr>
                <w:b/>
                <w:bCs/>
                <w:sz w:val="24"/>
                <w:szCs w:val="24"/>
              </w:rPr>
              <w:t>meenamon@usc.edu</w:t>
            </w:r>
          </w:p>
        </w:tc>
        <w:tc>
          <w:tcPr>
            <w:tcW w:w="3258" w:type="dxa"/>
          </w:tcPr>
          <w:p w:rsidR="009852A9" w:rsidRPr="009852A9" w:rsidRDefault="009852A9" w:rsidP="00201D93">
            <w:pPr>
              <w:tabs>
                <w:tab w:val="left" w:pos="1620"/>
              </w:tabs>
              <w:rPr>
                <w:bCs/>
                <w:sz w:val="24"/>
                <w:szCs w:val="24"/>
              </w:rPr>
            </w:pPr>
          </w:p>
        </w:tc>
        <w:tc>
          <w:tcPr>
            <w:tcW w:w="2070" w:type="dxa"/>
          </w:tcPr>
          <w:p w:rsidR="009852A9" w:rsidRPr="009852A9" w:rsidRDefault="009852A9" w:rsidP="00201D93">
            <w:pPr>
              <w:tabs>
                <w:tab w:val="left" w:pos="1620"/>
              </w:tabs>
              <w:rPr>
                <w:b/>
                <w:bCs/>
                <w:sz w:val="24"/>
                <w:szCs w:val="24"/>
              </w:rPr>
            </w:pPr>
            <w:r w:rsidRPr="009852A9">
              <w:rPr>
                <w:b/>
                <w:bCs/>
                <w:sz w:val="24"/>
                <w:szCs w:val="24"/>
              </w:rPr>
              <w:t>Course Day:</w:t>
            </w:r>
            <w:r w:rsidR="00201D93">
              <w:rPr>
                <w:b/>
                <w:bCs/>
                <w:sz w:val="24"/>
                <w:szCs w:val="24"/>
              </w:rPr>
              <w:t xml:space="preserve"> Monday</w:t>
            </w:r>
          </w:p>
        </w:tc>
        <w:tc>
          <w:tcPr>
            <w:tcW w:w="2970" w:type="dxa"/>
          </w:tcPr>
          <w:p w:rsidR="009852A9" w:rsidRPr="009852A9" w:rsidRDefault="009852A9" w:rsidP="00201D93">
            <w:pPr>
              <w:tabs>
                <w:tab w:val="left" w:pos="1620"/>
              </w:tabs>
              <w:rPr>
                <w:bCs/>
                <w:sz w:val="24"/>
                <w:szCs w:val="24"/>
              </w:rPr>
            </w:pPr>
          </w:p>
        </w:tc>
      </w:tr>
      <w:tr w:rsidR="009852A9" w:rsidRPr="009852A9" w:rsidTr="00201D93">
        <w:trPr>
          <w:cantSplit/>
        </w:trPr>
        <w:tc>
          <w:tcPr>
            <w:tcW w:w="1620" w:type="dxa"/>
          </w:tcPr>
          <w:p w:rsidR="009852A9" w:rsidRPr="009852A9" w:rsidRDefault="009852A9" w:rsidP="00201D93">
            <w:pPr>
              <w:tabs>
                <w:tab w:val="left" w:pos="1620"/>
              </w:tabs>
              <w:rPr>
                <w:b/>
                <w:bCs/>
                <w:sz w:val="24"/>
                <w:szCs w:val="24"/>
              </w:rPr>
            </w:pPr>
            <w:r w:rsidRPr="009852A9">
              <w:rPr>
                <w:b/>
                <w:bCs/>
                <w:sz w:val="24"/>
                <w:szCs w:val="24"/>
              </w:rPr>
              <w:t>Telephone:</w:t>
            </w:r>
            <w:r w:rsidR="00201D93">
              <w:rPr>
                <w:b/>
                <w:bCs/>
                <w:sz w:val="24"/>
                <w:szCs w:val="24"/>
              </w:rPr>
              <w:t xml:space="preserve"> 5623017479</w:t>
            </w:r>
          </w:p>
        </w:tc>
        <w:tc>
          <w:tcPr>
            <w:tcW w:w="3258" w:type="dxa"/>
          </w:tcPr>
          <w:p w:rsidR="009852A9" w:rsidRPr="009852A9" w:rsidRDefault="009852A9" w:rsidP="00201D93">
            <w:pPr>
              <w:tabs>
                <w:tab w:val="left" w:pos="1620"/>
              </w:tabs>
              <w:rPr>
                <w:bCs/>
                <w:sz w:val="24"/>
                <w:szCs w:val="24"/>
              </w:rPr>
            </w:pPr>
          </w:p>
        </w:tc>
        <w:tc>
          <w:tcPr>
            <w:tcW w:w="2070" w:type="dxa"/>
          </w:tcPr>
          <w:p w:rsidR="00201D93" w:rsidRDefault="009852A9" w:rsidP="00201D93">
            <w:pPr>
              <w:tabs>
                <w:tab w:val="left" w:pos="1620"/>
              </w:tabs>
              <w:rPr>
                <w:b/>
                <w:bCs/>
                <w:sz w:val="24"/>
                <w:szCs w:val="24"/>
              </w:rPr>
            </w:pPr>
            <w:r w:rsidRPr="009852A9">
              <w:rPr>
                <w:b/>
                <w:bCs/>
                <w:sz w:val="24"/>
                <w:szCs w:val="24"/>
              </w:rPr>
              <w:t>Course Time:</w:t>
            </w:r>
            <w:r w:rsidR="00201D93">
              <w:rPr>
                <w:b/>
                <w:bCs/>
                <w:sz w:val="24"/>
                <w:szCs w:val="24"/>
              </w:rPr>
              <w:t xml:space="preserve"> </w:t>
            </w:r>
          </w:p>
          <w:p w:rsidR="009852A9" w:rsidRPr="009852A9" w:rsidRDefault="00201D93" w:rsidP="00201D93">
            <w:pPr>
              <w:tabs>
                <w:tab w:val="left" w:pos="1620"/>
              </w:tabs>
              <w:rPr>
                <w:b/>
                <w:bCs/>
                <w:sz w:val="24"/>
                <w:szCs w:val="24"/>
              </w:rPr>
            </w:pPr>
            <w:r>
              <w:rPr>
                <w:b/>
                <w:bCs/>
                <w:sz w:val="24"/>
                <w:szCs w:val="24"/>
              </w:rPr>
              <w:t>7-10pm</w:t>
            </w:r>
            <w:r w:rsidR="009852A9" w:rsidRPr="009852A9">
              <w:rPr>
                <w:b/>
                <w:bCs/>
                <w:sz w:val="24"/>
                <w:szCs w:val="24"/>
              </w:rPr>
              <w:tab/>
            </w:r>
          </w:p>
        </w:tc>
        <w:tc>
          <w:tcPr>
            <w:tcW w:w="2970" w:type="dxa"/>
          </w:tcPr>
          <w:p w:rsidR="009852A9" w:rsidRPr="009852A9" w:rsidRDefault="009852A9" w:rsidP="00201D93">
            <w:pPr>
              <w:tabs>
                <w:tab w:val="left" w:pos="1620"/>
              </w:tabs>
              <w:rPr>
                <w:bCs/>
                <w:sz w:val="24"/>
                <w:szCs w:val="24"/>
              </w:rPr>
            </w:pPr>
          </w:p>
        </w:tc>
      </w:tr>
      <w:tr w:rsidR="009852A9" w:rsidRPr="009852A9" w:rsidTr="00201D93">
        <w:trPr>
          <w:cantSplit/>
        </w:trPr>
        <w:tc>
          <w:tcPr>
            <w:tcW w:w="1620" w:type="dxa"/>
          </w:tcPr>
          <w:p w:rsidR="009852A9" w:rsidRPr="009852A9" w:rsidRDefault="009852A9" w:rsidP="00201D93">
            <w:pPr>
              <w:tabs>
                <w:tab w:val="left" w:pos="1620"/>
              </w:tabs>
              <w:rPr>
                <w:b/>
                <w:bCs/>
                <w:sz w:val="24"/>
                <w:szCs w:val="24"/>
              </w:rPr>
            </w:pPr>
            <w:r w:rsidRPr="009852A9">
              <w:rPr>
                <w:b/>
                <w:bCs/>
                <w:sz w:val="24"/>
                <w:szCs w:val="24"/>
              </w:rPr>
              <w:t xml:space="preserve">Office: </w:t>
            </w:r>
          </w:p>
        </w:tc>
        <w:tc>
          <w:tcPr>
            <w:tcW w:w="3258" w:type="dxa"/>
          </w:tcPr>
          <w:p w:rsidR="009852A9" w:rsidRPr="009852A9" w:rsidRDefault="009852A9" w:rsidP="00201D93">
            <w:pPr>
              <w:tabs>
                <w:tab w:val="left" w:pos="1620"/>
              </w:tabs>
              <w:rPr>
                <w:bCs/>
                <w:sz w:val="24"/>
                <w:szCs w:val="24"/>
              </w:rPr>
            </w:pPr>
          </w:p>
        </w:tc>
        <w:tc>
          <w:tcPr>
            <w:tcW w:w="2070" w:type="dxa"/>
            <w:vMerge w:val="restart"/>
          </w:tcPr>
          <w:p w:rsidR="009852A9" w:rsidRPr="009852A9" w:rsidRDefault="009852A9" w:rsidP="00201D93">
            <w:pPr>
              <w:tabs>
                <w:tab w:val="left" w:pos="1620"/>
              </w:tabs>
              <w:rPr>
                <w:b/>
                <w:bCs/>
                <w:sz w:val="24"/>
                <w:szCs w:val="24"/>
              </w:rPr>
            </w:pPr>
            <w:r w:rsidRPr="009852A9">
              <w:rPr>
                <w:b/>
                <w:bCs/>
                <w:sz w:val="24"/>
                <w:szCs w:val="24"/>
              </w:rPr>
              <w:t>Course Location:</w:t>
            </w:r>
            <w:r w:rsidR="00201D93">
              <w:rPr>
                <w:b/>
                <w:bCs/>
                <w:sz w:val="24"/>
                <w:szCs w:val="24"/>
              </w:rPr>
              <w:t xml:space="preserve"> MRF229</w:t>
            </w:r>
          </w:p>
        </w:tc>
        <w:tc>
          <w:tcPr>
            <w:tcW w:w="2970" w:type="dxa"/>
            <w:vMerge w:val="restart"/>
          </w:tcPr>
          <w:p w:rsidR="009852A9" w:rsidRPr="009852A9" w:rsidRDefault="009852A9" w:rsidP="00201D93">
            <w:pPr>
              <w:tabs>
                <w:tab w:val="left" w:pos="1620"/>
              </w:tabs>
              <w:rPr>
                <w:bCs/>
                <w:sz w:val="24"/>
                <w:szCs w:val="24"/>
              </w:rPr>
            </w:pPr>
          </w:p>
        </w:tc>
      </w:tr>
      <w:tr w:rsidR="009852A9" w:rsidRPr="009852A9" w:rsidTr="00201D93">
        <w:trPr>
          <w:cantSplit/>
        </w:trPr>
        <w:tc>
          <w:tcPr>
            <w:tcW w:w="1620" w:type="dxa"/>
          </w:tcPr>
          <w:p w:rsidR="009852A9" w:rsidRDefault="009852A9" w:rsidP="00201D93">
            <w:pPr>
              <w:tabs>
                <w:tab w:val="left" w:pos="1620"/>
              </w:tabs>
              <w:rPr>
                <w:b/>
                <w:bCs/>
                <w:sz w:val="24"/>
                <w:szCs w:val="24"/>
              </w:rPr>
            </w:pPr>
            <w:r w:rsidRPr="009852A9">
              <w:rPr>
                <w:b/>
                <w:bCs/>
                <w:sz w:val="24"/>
                <w:szCs w:val="24"/>
              </w:rPr>
              <w:t>Office Hours:</w:t>
            </w:r>
            <w:r w:rsidR="00201D93">
              <w:rPr>
                <w:b/>
                <w:bCs/>
                <w:sz w:val="24"/>
                <w:szCs w:val="24"/>
              </w:rPr>
              <w:t xml:space="preserve"> 6-7 M OR By Appointment</w:t>
            </w:r>
          </w:p>
          <w:p w:rsidR="00201D93" w:rsidRPr="009852A9" w:rsidRDefault="00201D93" w:rsidP="00201D93">
            <w:pPr>
              <w:tabs>
                <w:tab w:val="left" w:pos="1620"/>
              </w:tabs>
              <w:rPr>
                <w:b/>
                <w:bCs/>
                <w:sz w:val="24"/>
                <w:szCs w:val="24"/>
              </w:rPr>
            </w:pPr>
          </w:p>
        </w:tc>
        <w:tc>
          <w:tcPr>
            <w:tcW w:w="3258" w:type="dxa"/>
          </w:tcPr>
          <w:p w:rsidR="009852A9" w:rsidRPr="009852A9" w:rsidRDefault="009852A9" w:rsidP="00201D93">
            <w:pPr>
              <w:tabs>
                <w:tab w:val="left" w:pos="1620"/>
              </w:tabs>
              <w:rPr>
                <w:bCs/>
                <w:sz w:val="24"/>
                <w:szCs w:val="24"/>
              </w:rPr>
            </w:pPr>
          </w:p>
        </w:tc>
        <w:tc>
          <w:tcPr>
            <w:tcW w:w="2070" w:type="dxa"/>
            <w:vMerge/>
          </w:tcPr>
          <w:p w:rsidR="009852A9" w:rsidRPr="009852A9" w:rsidRDefault="009852A9" w:rsidP="00201D93">
            <w:pPr>
              <w:tabs>
                <w:tab w:val="left" w:pos="1620"/>
              </w:tabs>
              <w:rPr>
                <w:b/>
                <w:bCs/>
                <w:sz w:val="24"/>
                <w:szCs w:val="24"/>
              </w:rPr>
            </w:pPr>
          </w:p>
        </w:tc>
        <w:tc>
          <w:tcPr>
            <w:tcW w:w="2970" w:type="dxa"/>
            <w:vMerge/>
          </w:tcPr>
          <w:p w:rsidR="009852A9" w:rsidRPr="009852A9" w:rsidRDefault="009852A9" w:rsidP="00201D93">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lastRenderedPageBreak/>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lastRenderedPageBreak/>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lastRenderedPageBreak/>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proofErr w:type="spellStart"/>
            <w:r w:rsidRPr="00903937">
              <w:rPr>
                <w:sz w:val="18"/>
                <w:szCs w:val="18"/>
              </w:rPr>
              <w:t>local,state</w:t>
            </w:r>
            <w:proofErr w:type="spellEnd"/>
            <w:r w:rsidRPr="00903937">
              <w:rPr>
                <w:sz w:val="18"/>
                <w:szCs w:val="18"/>
              </w:rPr>
              <w:t>,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services</w:t>
            </w:r>
            <w:proofErr w:type="gramEnd"/>
            <w:r w:rsidRPr="00903937">
              <w:rPr>
                <w:sz w:val="18"/>
                <w:szCs w:val="18"/>
              </w:rPr>
              <w:t>.</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proofErr w:type="spellStart"/>
            <w:r w:rsidRPr="00903937">
              <w:rPr>
                <w:sz w:val="18"/>
                <w:szCs w:val="18"/>
              </w:rPr>
              <w:t>analyze,formulate</w:t>
            </w:r>
            <w:proofErr w:type="spellEnd"/>
            <w:r w:rsidRPr="00903937">
              <w:rPr>
                <w:sz w:val="18"/>
                <w:szCs w:val="18"/>
              </w:rPr>
              <w:t>,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environmental</w:t>
            </w:r>
            <w:proofErr w:type="gramEnd"/>
            <w:r w:rsidRPr="00903937">
              <w:rPr>
                <w:sz w:val="18"/>
                <w:szCs w:val="18"/>
              </w:rPr>
              <w:t xml:space="preserve">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lastRenderedPageBreak/>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constituencies</w:t>
            </w:r>
            <w:proofErr w:type="gramEnd"/>
            <w:r w:rsidRPr="00903937">
              <w:rPr>
                <w:sz w:val="18"/>
                <w:szCs w:val="18"/>
              </w:rPr>
              <w:t>.</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within</w:t>
            </w:r>
            <w:proofErr w:type="gramEnd"/>
            <w:r w:rsidRPr="00903937">
              <w:rPr>
                <w:sz w:val="18"/>
                <w:szCs w:val="18"/>
              </w:rPr>
              <w:t xml:space="preserve">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constituencies</w:t>
            </w:r>
            <w:proofErr w:type="gramEnd"/>
            <w:r w:rsidRPr="00903937">
              <w:rPr>
                <w:sz w:val="18"/>
                <w:szCs w:val="18"/>
              </w:rPr>
              <w:t>.</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lastRenderedPageBreak/>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clients</w:t>
            </w:r>
            <w:proofErr w:type="gramEnd"/>
            <w:r w:rsidRPr="00903937">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and</w:t>
            </w:r>
            <w:proofErr w:type="gramEnd"/>
            <w:r w:rsidRPr="00903937">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proofErr w:type="gramStart"/>
            <w:r w:rsidRPr="00903937">
              <w:rPr>
                <w:sz w:val="18"/>
                <w:szCs w:val="18"/>
              </w:rPr>
              <w:t>agreed-on</w:t>
            </w:r>
            <w:proofErr w:type="gramEnd"/>
            <w:r w:rsidRPr="00903937">
              <w:rPr>
                <w:sz w:val="18"/>
                <w:szCs w:val="18"/>
              </w:rPr>
              <w:t xml:space="preserve">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lastRenderedPageBreak/>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proofErr w:type="gramStart"/>
      <w:r w:rsidR="009F591A">
        <w:t>engagement</w:t>
      </w:r>
      <w:proofErr w:type="gramEnd"/>
      <w:r w:rsidR="009F591A">
        <w:t xml:space="preserve">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w:t>
      </w:r>
      <w:r w:rsidR="0009036D" w:rsidRPr="006D49DD">
        <w:rPr>
          <w:rFonts w:ascii="Calibri" w:hAnsi="Calibri" w:cs="Calibri"/>
          <w:sz w:val="22"/>
          <w:szCs w:val="22"/>
        </w:rPr>
        <w:lastRenderedPageBreak/>
        <w:t xml:space="preserve">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w:t>
      </w:r>
      <w:proofErr w:type="gramStart"/>
      <w:r w:rsidR="0009036D" w:rsidRPr="006D49DD">
        <w:rPr>
          <w:rFonts w:ascii="Calibri" w:hAnsi="Calibri" w:cs="Calibri"/>
          <w:sz w:val="22"/>
          <w:szCs w:val="22"/>
        </w:rPr>
        <w:t>substantive,</w:t>
      </w:r>
      <w:proofErr w:type="gramEnd"/>
      <w:r w:rsidR="0009036D" w:rsidRPr="006D49DD">
        <w:rPr>
          <w:rFonts w:ascii="Calibri" w:hAnsi="Calibri" w:cs="Calibri"/>
          <w:sz w:val="22"/>
          <w:szCs w:val="22"/>
        </w:rPr>
        <w:t xml:space="preserve"> provide good insights and sometimes direction for the class. Application to </w:t>
      </w:r>
      <w:r w:rsidR="0009036D" w:rsidRPr="006D49DD">
        <w:rPr>
          <w:rFonts w:asciiTheme="minorHAnsi" w:hAnsiTheme="minorHAnsi" w:cstheme="minorHAnsi"/>
          <w:sz w:val="22"/>
          <w:szCs w:val="22"/>
        </w:rPr>
        <w:t xml:space="preserve">in-class </w:t>
      </w:r>
      <w:proofErr w:type="gramStart"/>
      <w:r w:rsidR="0009036D" w:rsidRPr="006D49DD">
        <w:rPr>
          <w:rFonts w:asciiTheme="minorHAnsi" w:hAnsiTheme="minorHAnsi" w:cstheme="minorHAnsi"/>
          <w:sz w:val="22"/>
          <w:szCs w:val="22"/>
        </w:rPr>
        <w:t xml:space="preserve">material </w:t>
      </w:r>
      <w:r w:rsidR="0009036D" w:rsidRPr="006D49DD">
        <w:rPr>
          <w:rFonts w:ascii="Calibri" w:hAnsi="Calibri" w:cs="Calibri"/>
          <w:sz w:val="22"/>
          <w:szCs w:val="22"/>
        </w:rPr>
        <w:t xml:space="preserve"> is</w:t>
      </w:r>
      <w:proofErr w:type="gramEnd"/>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xml:space="preserve">: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w:t>
      </w:r>
      <w:proofErr w:type="gramStart"/>
      <w:r w:rsidR="0009036D" w:rsidRPr="006D49DD">
        <w:rPr>
          <w:rFonts w:ascii="Calibri" w:hAnsi="Calibri" w:cs="Calibri"/>
          <w:sz w:val="22"/>
          <w:szCs w:val="22"/>
        </w:rPr>
        <w:t>Does not appear to be engaged.</w:t>
      </w:r>
      <w:proofErr w:type="gramEnd"/>
      <w:r>
        <w:rPr>
          <w:rFonts w:ascii="Calibri" w:hAnsi="Calibri" w:cs="Calibri"/>
          <w:sz w:val="22"/>
          <w:szCs w:val="22"/>
        </w:rPr>
        <w:t xml:space="preserve"> </w:t>
      </w:r>
      <w:proofErr w:type="gramStart"/>
      <w:r w:rsidR="0009036D" w:rsidRPr="006D49DD">
        <w:rPr>
          <w:rFonts w:ascii="Calibri" w:hAnsi="Calibri" w:cs="Calibri"/>
          <w:sz w:val="22"/>
          <w:szCs w:val="22"/>
        </w:rPr>
        <w:t>Attends class only.</w:t>
      </w:r>
      <w:proofErr w:type="gramEnd"/>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w:t>
      </w:r>
      <w:proofErr w:type="gramStart"/>
      <w:r w:rsidRPr="00D74D86">
        <w:rPr>
          <w:rFonts w:asciiTheme="minorHAnsi" w:hAnsiTheme="minorHAnsi" w:cstheme="minorHAnsi"/>
          <w:sz w:val="22"/>
          <w:szCs w:val="22"/>
        </w:rPr>
        <w:t>between C- to F</w:t>
      </w:r>
      <w:proofErr w:type="gramEnd"/>
      <w:r w:rsidRPr="00D74D86">
        <w:rPr>
          <w:rFonts w:asciiTheme="minorHAnsi" w:hAnsiTheme="minorHAnsi" w:cstheme="minorHAnsi"/>
          <w:sz w:val="22"/>
          <w:szCs w:val="22"/>
        </w:rPr>
        <w:t xml:space="preserve">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proofErr w:type="spellStart"/>
      <w:r>
        <w:t>Jansson</w:t>
      </w:r>
      <w:proofErr w:type="spellEnd"/>
      <w:r w:rsidR="00645C76">
        <w:t xml:space="preserve">, Bruce (2015).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lastRenderedPageBreak/>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Course Schedule―Detailed Description</w:t>
      </w:r>
    </w:p>
    <w:tbl>
      <w:tblPr>
        <w:tblW w:w="0" w:type="auto"/>
        <w:tblInd w:w="18" w:type="dxa"/>
        <w:tblLook w:val="04A0"/>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proofErr w:type="gramStart"/>
      <w:r>
        <w:t xml:space="preserve">Justice </w:t>
      </w:r>
      <w:r w:rsidR="00991153">
        <w:t>.</w:t>
      </w:r>
      <w:proofErr w:type="gramEnd"/>
    </w:p>
    <w:p w:rsidR="002E2B2F" w:rsidRDefault="002E2B2F" w:rsidP="003B2521">
      <w:pPr>
        <w:pStyle w:val="ListParagraph"/>
        <w:numPr>
          <w:ilvl w:val="0"/>
          <w:numId w:val="21"/>
        </w:numPr>
        <w:jc w:val="both"/>
      </w:pPr>
      <w:r>
        <w:t xml:space="preserve">How our social safety net is structured: federal to local implementation; cross-system </w:t>
      </w:r>
      <w:proofErr w:type="spellStart"/>
      <w:r>
        <w:t>intersectionality</w:t>
      </w:r>
      <w:proofErr w:type="spellEnd"/>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proofErr w:type="gramStart"/>
      <w:r>
        <w:t>ACA</w:t>
      </w:r>
      <w:r w:rsidRPr="00EA36A8">
        <w:t xml:space="preserve"> </w:t>
      </w:r>
      <w:r w:rsidR="00991153">
        <w:t>.</w:t>
      </w:r>
      <w:proofErr w:type="gramEnd"/>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w:t>
      </w:r>
      <w:proofErr w:type="gramStart"/>
      <w:r>
        <w:t>An Approach to Policy Practice.</w:t>
      </w:r>
      <w:proofErr w:type="gramEnd"/>
      <w:r>
        <w:t xml:space="preserve"> In </w:t>
      </w:r>
      <w:r w:rsidRPr="00E73875">
        <w:rPr>
          <w:i/>
        </w:rPr>
        <w:t>Engaging Social Welfare: An Introduction to Policy Analysis (</w:t>
      </w:r>
      <w:r>
        <w:t>chapter 1, pp. 1 – 22). Boston, MA: Pearson.</w:t>
      </w:r>
    </w:p>
    <w:p w:rsidR="00645C76" w:rsidRPr="00E73875" w:rsidRDefault="00645C76" w:rsidP="00E73875">
      <w:pPr>
        <w:ind w:left="360"/>
        <w:rPr>
          <w:i/>
        </w:rPr>
      </w:pPr>
      <w:proofErr w:type="spellStart"/>
      <w:r>
        <w:t>Jansson</w:t>
      </w:r>
      <w:proofErr w:type="spellEnd"/>
      <w:r>
        <w:t xml:space="preserve">, Bruce (2015).  </w:t>
      </w:r>
      <w:proofErr w:type="gramStart"/>
      <w:r w:rsidR="00AF006B">
        <w:t>Advancing Social Justice in 8 Policy Sectors.</w:t>
      </w:r>
      <w:proofErr w:type="gramEnd"/>
      <w:r w:rsidR="00AF006B">
        <w:t xml:space="preserve"> In </w:t>
      </w:r>
      <w:r w:rsidRPr="00E73875">
        <w:rPr>
          <w:i/>
        </w:rPr>
        <w:t xml:space="preserve">Social Welfare Policy and Advocacy: Advancing Social Justice </w:t>
      </w:r>
      <w:proofErr w:type="gramStart"/>
      <w:r w:rsidRPr="00E73875">
        <w:rPr>
          <w:i/>
        </w:rPr>
        <w:t>Through</w:t>
      </w:r>
      <w:proofErr w:type="gramEnd"/>
      <w:r w:rsidRPr="00E73875">
        <w:rPr>
          <w:i/>
        </w:rPr>
        <w:t xml:space="preserve">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w:t>
      </w:r>
      <w:proofErr w:type="gramStart"/>
      <w:r>
        <w:t>(iv) the</w:t>
      </w:r>
      <w:proofErr w:type="gramEnd"/>
      <w:r>
        <w:t xml:space="preserv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w:t>
      </w:r>
      <w:proofErr w:type="gramStart"/>
      <w:r>
        <w:t>Trends in Poverty and Income Inequality.</w:t>
      </w:r>
      <w:proofErr w:type="gramEnd"/>
      <w:r>
        <w:t xml:space="preserve">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w:t>
      </w:r>
      <w:proofErr w:type="gramStart"/>
      <w:r>
        <w:t>Food Insecurity.</w:t>
      </w:r>
      <w:proofErr w:type="gramEnd"/>
      <w:r>
        <w:t xml:space="preserve">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lastRenderedPageBreak/>
        <w:t xml:space="preserve">Stern, Mark </w:t>
      </w:r>
      <w:r w:rsidRPr="00A57CBA">
        <w:t xml:space="preserve">J. </w:t>
      </w:r>
      <w:r>
        <w:t>(2015</w:t>
      </w:r>
      <w:r w:rsidR="0060295B">
        <w:t xml:space="preserve">). </w:t>
      </w:r>
      <w:proofErr w:type="gramStart"/>
      <w:r w:rsidR="0060295B">
        <w:t>Public Assistance</w:t>
      </w:r>
      <w:r>
        <w:t>.</w:t>
      </w:r>
      <w:proofErr w:type="gramEnd"/>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proofErr w:type="spellStart"/>
      <w:r>
        <w:t>Jansson</w:t>
      </w:r>
      <w:proofErr w:type="spellEnd"/>
      <w:r>
        <w:t xml:space="preserve">, Bruce (2015).  </w:t>
      </w:r>
      <w:proofErr w:type="gramStart"/>
      <w:r w:rsidRPr="00EC74FB">
        <w:t>Becoming Policy Advocates in the Safety Net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proofErr w:type="gramStart"/>
      <w:r w:rsidRPr="00EC74FB">
        <w:t>Politics and Economics</w:t>
      </w:r>
      <w:r>
        <w:t>.</w:t>
      </w:r>
      <w:proofErr w:type="gramEnd"/>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proofErr w:type="spellStart"/>
      <w:r>
        <w:t>Jansson</w:t>
      </w:r>
      <w:proofErr w:type="spellEnd"/>
      <w:r>
        <w:t xml:space="preserve">, Bruce (2015).  </w:t>
      </w:r>
      <w:proofErr w:type="gramStart"/>
      <w:r w:rsidRPr="00EC74FB">
        <w:t>Deciding When to Challenge the Status Quo</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proofErr w:type="spellStart"/>
      <w:r>
        <w:t>Jansson</w:t>
      </w:r>
      <w:proofErr w:type="spellEnd"/>
      <w:r>
        <w:t xml:space="preserve">, Bruce (2015).  </w:t>
      </w:r>
      <w:proofErr w:type="gramStart"/>
      <w:r w:rsidRPr="00EC74FB">
        <w:t>A Case Example of Mezzo Policy</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proofErr w:type="spellStart"/>
      <w:r>
        <w:t>Jansson</w:t>
      </w:r>
      <w:proofErr w:type="spellEnd"/>
      <w:r>
        <w:t xml:space="preserve">, Bruce (2015).  </w:t>
      </w:r>
      <w:proofErr w:type="gramStart"/>
      <w:r w:rsidRPr="00EC74FB">
        <w:t>A Case Example of Mezzo Policy</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proofErr w:type="gramStart"/>
      <w:r>
        <w:t>;  and</w:t>
      </w:r>
      <w:proofErr w:type="gramEnd"/>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proofErr w:type="spellStart"/>
      <w:r>
        <w:t>Jansson</w:t>
      </w:r>
      <w:proofErr w:type="spellEnd"/>
      <w:r>
        <w:t xml:space="preserve">, Bruce (2015).  </w:t>
      </w:r>
      <w:proofErr w:type="gramStart"/>
      <w:r w:rsidRPr="00EC74FB">
        <w:t>Becoming Policy Advocates in the Gerontology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proofErr w:type="gramStart"/>
      <w:r w:rsidRPr="00EC74FB">
        <w:t>Providing Income and Services to Older American</w:t>
      </w:r>
      <w:r>
        <w:t>.</w:t>
      </w:r>
      <w:proofErr w:type="gramEnd"/>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proofErr w:type="gramStart"/>
      <w:r w:rsidRPr="00EC74FB">
        <w:t>Disability and Dependence</w:t>
      </w:r>
      <w:r>
        <w:t>.</w:t>
      </w:r>
      <w:proofErr w:type="gramEnd"/>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w:t>
      </w:r>
      <w:proofErr w:type="gramStart"/>
      <w:r>
        <w:t xml:space="preserve">In </w:t>
      </w:r>
      <w:r w:rsidRPr="0035795B">
        <w:rPr>
          <w:i/>
        </w:rPr>
        <w:t>The Saturday Evening Post</w:t>
      </w:r>
      <w:r>
        <w:t>, Jan/Feb 2012.</w:t>
      </w:r>
      <w:proofErr w:type="gramEnd"/>
    </w:p>
    <w:p w:rsidR="0035795B" w:rsidRDefault="0035795B" w:rsidP="009852A9">
      <w:pPr>
        <w:pStyle w:val="NoSpacing"/>
        <w:spacing w:line="276" w:lineRule="auto"/>
        <w:rPr>
          <w:sz w:val="18"/>
          <w:szCs w:val="18"/>
        </w:rPr>
      </w:pPr>
    </w:p>
    <w:tbl>
      <w:tblPr>
        <w:tblW w:w="0" w:type="auto"/>
        <w:tblInd w:w="18" w:type="dxa"/>
        <w:tblLook w:val="04A0"/>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lastRenderedPageBreak/>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xml:space="preserve">. </w:t>
      </w:r>
      <w:proofErr w:type="gramStart"/>
      <w:r w:rsidR="0035795B">
        <w:t>I</w:t>
      </w:r>
      <w:r w:rsidRPr="008676CF">
        <w:t xml:space="preserve">n </w:t>
      </w:r>
      <w:r w:rsidRPr="0035795B">
        <w:rPr>
          <w:i/>
        </w:rPr>
        <w:t>Career Planning and Adult Development Journal</w:t>
      </w:r>
      <w:r w:rsidRPr="008676CF">
        <w:t>, summer 2012, p</w:t>
      </w:r>
      <w:r w:rsidR="0035795B">
        <w:t>p</w:t>
      </w:r>
      <w:r w:rsidRPr="008676CF">
        <w:t xml:space="preserve"> 117 – 127.</w:t>
      </w:r>
      <w:proofErr w:type="gramEnd"/>
    </w:p>
    <w:p w:rsidR="00CE1F94" w:rsidRDefault="00CE1F94" w:rsidP="009852A9">
      <w:pPr>
        <w:pStyle w:val="ListParagraph"/>
        <w:rPr>
          <w:b/>
          <w:u w:val="single"/>
        </w:rPr>
      </w:pPr>
    </w:p>
    <w:tbl>
      <w:tblPr>
        <w:tblW w:w="0" w:type="auto"/>
        <w:tblInd w:w="18" w:type="dxa"/>
        <w:tblLook w:val="04A0"/>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the application process</w:t>
      </w:r>
      <w:proofErr w:type="gramStart"/>
      <w:r w:rsidR="00361776">
        <w:t xml:space="preserve">; </w:t>
      </w:r>
      <w:r>
        <w:t xml:space="preserve"> (</w:t>
      </w:r>
      <w:proofErr w:type="gramEnd"/>
      <w:r>
        <w:t xml:space="preserve">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 xml:space="preserve">Discuss the adequacy (breadth &amp; depth) of the programs’ </w:t>
      </w:r>
      <w:proofErr w:type="spellStart"/>
      <w:r>
        <w:t>coverages</w:t>
      </w:r>
      <w:proofErr w:type="spellEnd"/>
      <w:r>
        <w:t>,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proofErr w:type="spellStart"/>
      <w:r>
        <w:t>Jansson</w:t>
      </w:r>
      <w:proofErr w:type="spellEnd"/>
      <w:r>
        <w:t xml:space="preserve">, Bruce (2015).  </w:t>
      </w:r>
      <w:proofErr w:type="gramStart"/>
      <w:r w:rsidRPr="00EC74FB">
        <w:t>Becoming Policy Advocates in the Healthcare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proofErr w:type="gramStart"/>
      <w:r w:rsidRPr="00EC74FB">
        <w:t>Physical and Behavioral Health</w:t>
      </w:r>
      <w:r>
        <w:t>.</w:t>
      </w:r>
      <w:proofErr w:type="gramEnd"/>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proofErr w:type="gramStart"/>
      <w:r>
        <w:t>;  and</w:t>
      </w:r>
      <w:proofErr w:type="gramEnd"/>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lastRenderedPageBreak/>
        <w:t xml:space="preserve">Discuss the adequacy (breadth &amp; depth) of the programs’ </w:t>
      </w:r>
      <w:proofErr w:type="spellStart"/>
      <w:r>
        <w:t>coverages</w:t>
      </w:r>
      <w:proofErr w:type="spellEnd"/>
      <w:r>
        <w:t>,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proofErr w:type="spellStart"/>
      <w:r>
        <w:t>Jansson</w:t>
      </w:r>
      <w:proofErr w:type="spellEnd"/>
      <w:r>
        <w:t xml:space="preserve">, Bruce (2015).  </w:t>
      </w:r>
      <w:proofErr w:type="gramStart"/>
      <w:r w:rsidRPr="00EC74FB">
        <w:t>Becoming Policy Advocates in the Mental Health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w:t>
      </w:r>
      <w:proofErr w:type="gramStart"/>
      <w:r>
        <w:t xml:space="preserve">Mental </w:t>
      </w:r>
      <w:r w:rsidRPr="00EC74FB">
        <w:t>Health</w:t>
      </w:r>
      <w:r>
        <w:t>.</w:t>
      </w:r>
      <w:proofErr w:type="gramEnd"/>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proofErr w:type="spellStart"/>
      <w:r>
        <w:t>Salasin</w:t>
      </w:r>
      <w:proofErr w:type="spellEnd"/>
      <w:r>
        <w:t xml:space="preserve">, Susan:  </w:t>
      </w:r>
      <w:r w:rsidR="00F16D4F" w:rsidRPr="008E49FE">
        <w:t>Evolution of Women’s Trauma-Integrated Services at SAMHSA</w:t>
      </w:r>
      <w:r>
        <w:t xml:space="preserve">. </w:t>
      </w:r>
      <w:proofErr w:type="gramStart"/>
      <w:r>
        <w:t xml:space="preserve">In </w:t>
      </w:r>
      <w:r w:rsidR="00F16D4F">
        <w:t>Journal of Community Psychology, July 2005</w:t>
      </w:r>
      <w:r>
        <w:t>.</w:t>
      </w:r>
      <w:proofErr w:type="gramEnd"/>
    </w:p>
    <w:p w:rsidR="00F16D4F" w:rsidRDefault="00F16D4F" w:rsidP="000B7C1E">
      <w:pPr>
        <w:ind w:left="1440"/>
        <w:rPr>
          <w:sz w:val="18"/>
          <w:szCs w:val="18"/>
        </w:rPr>
      </w:pPr>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proofErr w:type="gramStart"/>
      <w:r w:rsidR="00E30F68">
        <w:t xml:space="preserve">administrations </w:t>
      </w:r>
      <w:r>
        <w:t xml:space="preserve"> expansion</w:t>
      </w:r>
      <w:proofErr w:type="gramEnd"/>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w:t>
      </w:r>
      <w:proofErr w:type="spellStart"/>
      <w:r>
        <w:t>ie</w:t>
      </w:r>
      <w:proofErr w:type="spellEnd"/>
      <w:r>
        <w:t xml:space="preserv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lastRenderedPageBreak/>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proofErr w:type="spellStart"/>
      <w:r>
        <w:t>Jansson</w:t>
      </w:r>
      <w:proofErr w:type="spellEnd"/>
      <w:r>
        <w:t xml:space="preserve">, Bruce (2015).  </w:t>
      </w:r>
      <w:proofErr w:type="gramStart"/>
      <w:r w:rsidRPr="00EC74FB">
        <w:t>Initiating Policy Advocacy at Three Levels</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w:t>
      </w:r>
      <w:proofErr w:type="gramStart"/>
      <w:r>
        <w:t>(iv) what</w:t>
      </w:r>
      <w:proofErr w:type="gramEnd"/>
      <w:r>
        <w:t xml:space="preserve">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proofErr w:type="spellStart"/>
      <w:r>
        <w:t>Jansson</w:t>
      </w:r>
      <w:proofErr w:type="spellEnd"/>
      <w:r>
        <w:t xml:space="preserve">, Bruce (2015).  </w:t>
      </w:r>
      <w:proofErr w:type="gramStart"/>
      <w:r w:rsidRPr="00EC74FB">
        <w:t>Becoming Policy Advocates in the Child and Family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proofErr w:type="spellStart"/>
      <w:r>
        <w:t>Jansson</w:t>
      </w:r>
      <w:proofErr w:type="spellEnd"/>
      <w:r>
        <w:t xml:space="preserve">, Bruce (2015).  </w:t>
      </w:r>
      <w:proofErr w:type="gramStart"/>
      <w:r w:rsidRPr="00EC74FB">
        <w:t>Becoming Policy Advocates in Education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lastRenderedPageBreak/>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proofErr w:type="spellStart"/>
      <w:r>
        <w:t>Jansson</w:t>
      </w:r>
      <w:proofErr w:type="spellEnd"/>
      <w:r>
        <w:t xml:space="preserve">, Bruce (2015).  </w:t>
      </w:r>
      <w:proofErr w:type="gramStart"/>
      <w:r w:rsidRPr="003B2521">
        <w:t>Understanding the political economy of the child and family sector</w:t>
      </w:r>
      <w:r>
        <w:t>.</w:t>
      </w:r>
      <w:proofErr w:type="gramEnd"/>
      <w:r>
        <w:t xml:space="preserve"> In </w:t>
      </w:r>
      <w:r w:rsidRPr="00212684">
        <w:rPr>
          <w:i/>
        </w:rPr>
        <w:t xml:space="preserve">Social Welfare Policy and Advocacy: Advancing Social Justice </w:t>
      </w:r>
      <w:proofErr w:type="gramStart"/>
      <w:r w:rsidRPr="00212684">
        <w:rPr>
          <w:i/>
        </w:rPr>
        <w:t>Through</w:t>
      </w:r>
      <w:proofErr w:type="gramEnd"/>
      <w:r w:rsidRPr="00212684">
        <w:rPr>
          <w:i/>
        </w:rPr>
        <w:t xml:space="preserve">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proofErr w:type="spellStart"/>
      <w:r>
        <w:t>Jansson</w:t>
      </w:r>
      <w:proofErr w:type="spellEnd"/>
      <w:r>
        <w:t xml:space="preserve">, Bruce (2001).  </w:t>
      </w:r>
      <w:proofErr w:type="gramStart"/>
      <w:r w:rsidRPr="00EC74FB">
        <w:t>On the Magnitude of Failed National Priorities</w:t>
      </w:r>
      <w:r>
        <w:t>.</w:t>
      </w:r>
      <w:proofErr w:type="gramEnd"/>
      <w:r>
        <w:t xml:space="preserve"> </w:t>
      </w:r>
      <w:proofErr w:type="gramStart"/>
      <w:r>
        <w:t xml:space="preserve">In </w:t>
      </w:r>
      <w:r w:rsidRPr="006A339E">
        <w:rPr>
          <w:i/>
        </w:rPr>
        <w:t>The Sixteen-Trillion Dollar Mistake</w:t>
      </w:r>
      <w:r w:rsidRPr="00212684">
        <w:rPr>
          <w:i/>
        </w:rPr>
        <w:t xml:space="preserve"> </w:t>
      </w:r>
      <w:r w:rsidRPr="00645C76">
        <w:t>(</w:t>
      </w:r>
      <w:r>
        <w:t>chapter 15, pp 349 – 390).</w:t>
      </w:r>
      <w:proofErr w:type="gramEnd"/>
      <w:r>
        <w:t xml:space="preserve">  New York: Columbia University Press.  </w:t>
      </w:r>
    </w:p>
    <w:p w:rsidR="009852A9" w:rsidRDefault="00791165" w:rsidP="006A339E">
      <w:pPr>
        <w:ind w:left="720"/>
      </w:pPr>
      <w:r>
        <w:t xml:space="preserve">Payne, </w:t>
      </w:r>
      <w:proofErr w:type="spellStart"/>
      <w:r>
        <w:t>Malcom</w:t>
      </w:r>
      <w:proofErr w:type="spellEnd"/>
      <w:r>
        <w:t xml:space="preserve"> (2005).  </w:t>
      </w:r>
      <w:proofErr w:type="gramStart"/>
      <w:r w:rsidRPr="00EC74FB">
        <w:t>Systems and Ecological Perspectives</w:t>
      </w:r>
      <w:r>
        <w:t>.</w:t>
      </w:r>
      <w:proofErr w:type="gramEnd"/>
      <w:r>
        <w:t xml:space="preserve"> </w:t>
      </w:r>
      <w:proofErr w:type="gramStart"/>
      <w:r>
        <w:t xml:space="preserve">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w:t>
      </w:r>
      <w:proofErr w:type="gramEnd"/>
      <w:r>
        <w:t xml:space="preserve">  New York: Palgrave MacMillan.</w:t>
      </w:r>
    </w:p>
    <w:p w:rsidR="00791165" w:rsidRDefault="00791165" w:rsidP="006A339E">
      <w:pPr>
        <w:ind w:firstLine="720"/>
      </w:pPr>
      <w:proofErr w:type="spellStart"/>
      <w:r w:rsidRPr="00EC74FB">
        <w:t>Musell</w:t>
      </w:r>
      <w:proofErr w:type="spellEnd"/>
      <w:r w:rsidRPr="00EC74FB">
        <w:t>, R.M. (200</w:t>
      </w:r>
      <w:r>
        <w:t>8</w:t>
      </w:r>
      <w:r w:rsidRPr="00EC74FB">
        <w:t>)</w:t>
      </w:r>
      <w:r>
        <w:t>.</w:t>
      </w:r>
      <w:r w:rsidRPr="00EC74FB">
        <w:t xml:space="preserve"> </w:t>
      </w:r>
      <w:r>
        <w:t xml:space="preserve">  </w:t>
      </w:r>
      <w:proofErr w:type="gramStart"/>
      <w:r w:rsidRPr="006A339E">
        <w:rPr>
          <w:i/>
        </w:rPr>
        <w:t>Understanding Government Budgets: A Practical Guide</w:t>
      </w:r>
      <w:r>
        <w:t xml:space="preserve"> (</w:t>
      </w:r>
      <w:r w:rsidRPr="00EC74FB">
        <w:t>chapters 2 and 3</w:t>
      </w:r>
      <w:r>
        <w:t>).</w:t>
      </w:r>
      <w:proofErr w:type="gramEnd"/>
      <w:r>
        <w:t xml:space="preserve"> </w:t>
      </w:r>
      <w:proofErr w:type="spellStart"/>
      <w:proofErr w:type="gramStart"/>
      <w:r w:rsidR="006A339E">
        <w:t>Routledge</w:t>
      </w:r>
      <w:proofErr w:type="spellEnd"/>
      <w:r w:rsidR="006A339E">
        <w:t>.</w:t>
      </w:r>
      <w:proofErr w:type="gramEnd"/>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lastRenderedPageBreak/>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 xml:space="preserve">e </w:t>
      </w:r>
      <w:proofErr w:type="gramStart"/>
      <w:r>
        <w:t>Against</w:t>
      </w:r>
      <w:proofErr w:type="gramEnd"/>
      <w:r>
        <w:t xml:space="preserve">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proofErr w:type="gramStart"/>
      <w:r w:rsidRPr="000B7C1E">
        <w:t>Social Workers’ Role in Social Welfare Policy</w:t>
      </w:r>
      <w:r>
        <w:t>.</w:t>
      </w:r>
      <w:proofErr w:type="gramEnd"/>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bookmarkStart w:id="0" w:name="_GoBack"/>
      <w:bookmarkEnd w:id="0"/>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E42AC" w:rsidRDefault="001E42AC" w:rsidP="001E42AC">
      <w:pPr>
        <w:pStyle w:val="Heading1"/>
        <w:ind w:left="360"/>
      </w:pPr>
      <w:r>
        <w:t>Academic Conduct</w:t>
      </w:r>
    </w:p>
    <w:p w:rsidR="001E42AC" w:rsidRPr="00FB0445" w:rsidRDefault="001E42AC" w:rsidP="001E42A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9"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0" w:history="1">
        <w:r w:rsidRPr="00FB0445">
          <w:rPr>
            <w:rStyle w:val="Hyperlink"/>
            <w:rFonts w:cs="Arial"/>
          </w:rPr>
          <w:t>http://policy.usc.edu/scientific-misconduct/</w:t>
        </w:r>
      </w:hyperlink>
      <w:r w:rsidRPr="00FB0445">
        <w:rPr>
          <w:rFonts w:cs="Arial"/>
          <w:color w:val="000000"/>
        </w:rPr>
        <w:t>.</w:t>
      </w:r>
    </w:p>
    <w:p w:rsidR="001E42AC" w:rsidRPr="00FB0445" w:rsidRDefault="001E42AC" w:rsidP="001E42AC">
      <w:pPr>
        <w:ind w:right="720"/>
        <w:rPr>
          <w:rFonts w:cs="Arial"/>
        </w:rPr>
      </w:pPr>
    </w:p>
    <w:p w:rsidR="001E42AC" w:rsidRPr="00FB0445" w:rsidRDefault="001E42AC" w:rsidP="001E42AC">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1"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2"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3"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4" w:history="1">
        <w:r w:rsidRPr="00FB0445">
          <w:rPr>
            <w:rStyle w:val="Hyperlink"/>
            <w:rFonts w:cs="Arial"/>
          </w:rPr>
          <w:t>sarc@usc.edu</w:t>
        </w:r>
      </w:hyperlink>
      <w:r w:rsidRPr="00FB0445">
        <w:rPr>
          <w:rFonts w:cs="Arial"/>
          <w:color w:val="000000"/>
        </w:rPr>
        <w:t xml:space="preserve"> describes reporting options and other resources.</w:t>
      </w:r>
    </w:p>
    <w:p w:rsidR="001E42AC" w:rsidRDefault="001E42AC" w:rsidP="001E42AC">
      <w:pPr>
        <w:pStyle w:val="Heading1"/>
        <w:ind w:left="360"/>
      </w:pPr>
      <w:r>
        <w:t>Support Systems</w:t>
      </w:r>
    </w:p>
    <w:p w:rsidR="001E42AC" w:rsidRPr="00FB0445" w:rsidRDefault="001E42AC" w:rsidP="001E42A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5"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6"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accommodations.  If an officially</w:t>
      </w:r>
      <w:proofErr w:type="gramStart"/>
      <w:r w:rsidRPr="00FB0445">
        <w:rPr>
          <w:rFonts w:cs="Arial"/>
          <w:color w:val="000000"/>
        </w:rPr>
        <w:t>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17"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lastRenderedPageBreak/>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the instructor, contact the chair of the</w:t>
      </w:r>
      <w:r>
        <w:t xml:space="preserve"> 536, Sam </w:t>
      </w:r>
      <w:proofErr w:type="spellStart"/>
      <w:r>
        <w:t>Mistrano</w:t>
      </w:r>
      <w:proofErr w:type="spellEnd"/>
      <w:r>
        <w:t xml:space="preserve"> at </w:t>
      </w:r>
      <w:hyperlink r:id="rId18" w:history="1">
        <w:r w:rsidRPr="004B0BF8">
          <w:rPr>
            <w:rStyle w:val="Hyperlink"/>
          </w:rPr>
          <w:t>mistrano@usc.edu</w:t>
        </w:r>
      </w:hyperlink>
      <w:r>
        <w:t xml:space="preserve">. </w:t>
      </w:r>
      <w:r w:rsidRPr="00D20FB5">
        <w:t xml:space="preserve"> If you do not receive a satisfactory response or solution, contact your advisor and/or </w:t>
      </w:r>
      <w:r>
        <w:t>Vice Dean Dr. Paul Maiden</w:t>
      </w:r>
      <w:r w:rsidRPr="00D20FB5">
        <w:t xml:space="preserve"> for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BE" w:rsidRDefault="00F819BE" w:rsidP="00D32962">
      <w:pPr>
        <w:spacing w:after="0" w:line="240" w:lineRule="auto"/>
      </w:pPr>
      <w:r>
        <w:separator/>
      </w:r>
    </w:p>
  </w:endnote>
  <w:endnote w:type="continuationSeparator" w:id="0">
    <w:p w:rsidR="00F819BE" w:rsidRDefault="00F819BE" w:rsidP="00D3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010914"/>
      <w:docPartObj>
        <w:docPartGallery w:val="Page Numbers (Bottom of Page)"/>
        <w:docPartUnique/>
      </w:docPartObj>
    </w:sdtPr>
    <w:sdtContent>
      <w:p w:rsidR="00F819BE" w:rsidRDefault="00CC2E42">
        <w:pPr>
          <w:pStyle w:val="Footer"/>
          <w:jc w:val="right"/>
        </w:pPr>
        <w:fldSimple w:instr=" PAGE   \* MERGEFORMAT ">
          <w:r w:rsidR="00201D93">
            <w:rPr>
              <w:noProof/>
            </w:rPr>
            <w:t>1</w:t>
          </w:r>
        </w:fldSimple>
      </w:p>
    </w:sdtContent>
  </w:sdt>
  <w:p w:rsidR="00F819BE" w:rsidRDefault="00F81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BE" w:rsidRDefault="00F819BE" w:rsidP="00D32962">
      <w:pPr>
        <w:spacing w:after="0" w:line="240" w:lineRule="auto"/>
      </w:pPr>
      <w:r>
        <w:separator/>
      </w:r>
    </w:p>
  </w:footnote>
  <w:footnote w:type="continuationSeparator" w:id="0">
    <w:p w:rsidR="00F819BE" w:rsidRDefault="00F819BE" w:rsidP="00D32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75pt;height:13.75pt" o:bullet="t">
        <v:imagedata r:id="rId2" o:title="MCBD21329_0000[1]"/>
      </v:shape>
    </w:pict>
  </w:numPicBullet>
  <w:numPicBullet w:numPicBulletId="2">
    <w:pict>
      <v:shape id="_x0000_i1028" type="#_x0000_t75" style="width:8.75pt;height:8.7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333A"/>
    <w:rsid w:val="000049A6"/>
    <w:rsid w:val="00024398"/>
    <w:rsid w:val="00033AC7"/>
    <w:rsid w:val="000400A4"/>
    <w:rsid w:val="00045597"/>
    <w:rsid w:val="00052768"/>
    <w:rsid w:val="00054189"/>
    <w:rsid w:val="000725E8"/>
    <w:rsid w:val="00080BE7"/>
    <w:rsid w:val="000826CC"/>
    <w:rsid w:val="00086BD9"/>
    <w:rsid w:val="0009036D"/>
    <w:rsid w:val="0009597F"/>
    <w:rsid w:val="000A1AC2"/>
    <w:rsid w:val="000A3A98"/>
    <w:rsid w:val="000B7C1E"/>
    <w:rsid w:val="000C349B"/>
    <w:rsid w:val="000D2546"/>
    <w:rsid w:val="000D31A2"/>
    <w:rsid w:val="000D616F"/>
    <w:rsid w:val="000D76C1"/>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01D93"/>
    <w:rsid w:val="00212684"/>
    <w:rsid w:val="00213114"/>
    <w:rsid w:val="00216321"/>
    <w:rsid w:val="002301BF"/>
    <w:rsid w:val="00250E3D"/>
    <w:rsid w:val="0025462B"/>
    <w:rsid w:val="002574F8"/>
    <w:rsid w:val="00265CB8"/>
    <w:rsid w:val="00270302"/>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E4"/>
    <w:rsid w:val="004A2C1C"/>
    <w:rsid w:val="004A6418"/>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3D8A"/>
    <w:rsid w:val="00696986"/>
    <w:rsid w:val="006A0757"/>
    <w:rsid w:val="006A2FF7"/>
    <w:rsid w:val="006A339E"/>
    <w:rsid w:val="006A5D46"/>
    <w:rsid w:val="006B67EC"/>
    <w:rsid w:val="006B7448"/>
    <w:rsid w:val="006D49DD"/>
    <w:rsid w:val="006D786C"/>
    <w:rsid w:val="006E0259"/>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4C93"/>
    <w:rsid w:val="007A4F34"/>
    <w:rsid w:val="007E7872"/>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21F1"/>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C0737"/>
    <w:rsid w:val="00AC33E9"/>
    <w:rsid w:val="00AF006B"/>
    <w:rsid w:val="00B026C4"/>
    <w:rsid w:val="00B1137D"/>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65EF"/>
    <w:rsid w:val="00C85539"/>
    <w:rsid w:val="00C87439"/>
    <w:rsid w:val="00C900D7"/>
    <w:rsid w:val="00C969ED"/>
    <w:rsid w:val="00CA6A8C"/>
    <w:rsid w:val="00CA7F31"/>
    <w:rsid w:val="00CC2E42"/>
    <w:rsid w:val="00CE1F94"/>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11842"/>
    <w:rsid w:val="00F16D4F"/>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sc.edu/student-affairs/cwm/" TargetMode="External"/><Relationship Id="rId18" Type="http://schemas.openxmlformats.org/officeDocument/2006/relationships/hyperlink" Target="mailto:mistrano@usc.ed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ait.usc.edu/academicsupport/centerprograms/dsp/home_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ty.usc.edu/" TargetMode="External"/><Relationship Id="rId5" Type="http://schemas.openxmlformats.org/officeDocument/2006/relationships/webSettings" Target="webSetting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215B9-2B05-4164-AB61-C48B578A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Meena</cp:lastModifiedBy>
  <cp:revision>3</cp:revision>
  <cp:lastPrinted>2015-11-06T19:26:00Z</cp:lastPrinted>
  <dcterms:created xsi:type="dcterms:W3CDTF">2016-08-19T00:50:00Z</dcterms:created>
  <dcterms:modified xsi:type="dcterms:W3CDTF">2016-08-19T00:55:00Z</dcterms:modified>
</cp:coreProperties>
</file>