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A9" w:rsidRDefault="0048585E" w:rsidP="00E73875">
      <w:pPr>
        <w:rPr>
          <w:b/>
          <w:sz w:val="28"/>
          <w:szCs w:val="28"/>
        </w:rPr>
      </w:pPr>
      <w:r>
        <w:rPr>
          <w:noProof/>
        </w:rPr>
        <w:drawing>
          <wp:inline distT="0" distB="0" distL="0" distR="0" wp14:anchorId="05C92EE3" wp14:editId="12186973">
            <wp:extent cx="6791325" cy="1343025"/>
            <wp:effectExtent l="0" t="0" r="0" b="9525"/>
            <wp:docPr id="8" name="Picture 7" descr="C:\Users\Jane\Documents\Formal-Hor-S-Dworak-Peck-SW-School-JPG-2\Super Formal_Hor_S.Dworak-Peck School of SW_GoldOnCard.jpg"/>
            <wp:cNvGraphicFramePr/>
            <a:graphic xmlns:a="http://schemas.openxmlformats.org/drawingml/2006/main">
              <a:graphicData uri="http://schemas.openxmlformats.org/drawingml/2006/picture">
                <pic:pic xmlns:pic="http://schemas.openxmlformats.org/drawingml/2006/picture">
                  <pic:nvPicPr>
                    <pic:cNvPr id="8" name="Picture 7" descr="C:\Users\Jane\Documents\Formal-Hor-S-Dworak-Peck-SW-School-JPG-2\Super Formal_Hor_S.Dworak-Peck School of SW_GoldOnCar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4185" cy="1343591"/>
                    </a:xfrm>
                    <a:prstGeom prst="rect">
                      <a:avLst/>
                    </a:prstGeom>
                    <a:noFill/>
                    <a:ln>
                      <a:noFill/>
                    </a:ln>
                  </pic:spPr>
                </pic:pic>
              </a:graphicData>
            </a:graphic>
          </wp:inline>
        </w:drawing>
      </w:r>
    </w:p>
    <w:p w:rsidR="009852A9" w:rsidRPr="009852A9" w:rsidRDefault="009852A9" w:rsidP="009852A9">
      <w:pPr>
        <w:spacing w:before="100"/>
        <w:jc w:val="center"/>
        <w:rPr>
          <w:b/>
          <w:bCs/>
          <w:sz w:val="24"/>
          <w:szCs w:val="24"/>
        </w:rPr>
      </w:pPr>
      <w:r w:rsidRPr="009852A9">
        <w:rPr>
          <w:b/>
          <w:bCs/>
          <w:sz w:val="24"/>
          <w:szCs w:val="24"/>
        </w:rPr>
        <w:t>Social Work 5</w:t>
      </w:r>
      <w:r w:rsidR="00792A6F">
        <w:rPr>
          <w:b/>
          <w:bCs/>
          <w:sz w:val="24"/>
          <w:szCs w:val="24"/>
        </w:rPr>
        <w:t>36</w:t>
      </w:r>
    </w:p>
    <w:p w:rsidR="009852A9" w:rsidRPr="009852A9" w:rsidRDefault="009852A9" w:rsidP="009852A9">
      <w:pPr>
        <w:jc w:val="center"/>
        <w:rPr>
          <w:b/>
          <w:bCs/>
          <w:color w:val="C00000"/>
          <w:sz w:val="24"/>
          <w:szCs w:val="24"/>
        </w:rPr>
      </w:pPr>
      <w:r w:rsidRPr="009852A9">
        <w:rPr>
          <w:b/>
          <w:bCs/>
          <w:color w:val="C00000"/>
          <w:sz w:val="24"/>
          <w:szCs w:val="24"/>
        </w:rPr>
        <w:t>Policy and Advocacy</w:t>
      </w:r>
      <w:r w:rsidR="00CE1F94">
        <w:rPr>
          <w:b/>
          <w:bCs/>
          <w:color w:val="C00000"/>
          <w:sz w:val="24"/>
          <w:szCs w:val="24"/>
        </w:rPr>
        <w:t xml:space="preserve"> In Professional Social Work</w:t>
      </w:r>
    </w:p>
    <w:p w:rsidR="009852A9" w:rsidRDefault="009852A9" w:rsidP="009852A9">
      <w:pPr>
        <w:jc w:val="center"/>
        <w:rPr>
          <w:b/>
          <w:bCs/>
          <w:color w:val="C00000"/>
          <w:sz w:val="24"/>
          <w:szCs w:val="24"/>
        </w:rPr>
      </w:pPr>
      <w:r w:rsidRPr="009852A9">
        <w:rPr>
          <w:b/>
          <w:bCs/>
          <w:color w:val="C00000"/>
          <w:sz w:val="24"/>
          <w:szCs w:val="24"/>
        </w:rPr>
        <w:t>Three Units</w:t>
      </w:r>
    </w:p>
    <w:p w:rsidR="000D616F" w:rsidRPr="0023602F" w:rsidRDefault="000D616F" w:rsidP="000D616F">
      <w:pPr>
        <w:ind w:left="1080"/>
        <w:rPr>
          <w:rFonts w:asciiTheme="majorHAnsi" w:eastAsia="Times New Roman" w:hAnsiTheme="majorHAnsi" w:cs="Arial"/>
          <w:i/>
        </w:rPr>
      </w:pPr>
      <w:r w:rsidRPr="0023602F">
        <w:rPr>
          <w:rFonts w:asciiTheme="majorHAnsi" w:eastAsia="Times New Roman" w:hAnsiTheme="majorHAnsi" w:cs="Arial"/>
          <w:i/>
        </w:rPr>
        <w:t xml:space="preserve">The purpose of the social work profession is to promote human and community well-being.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Guided by a person-in-environment framework, a global perspective, respect for human diversity,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and knowledge based on scientific inquiry, the purpose of social work is actualized through its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quest for social and economic justice, the prevention of conditions that limit human rights, the </w:t>
      </w:r>
      <w:r w:rsidR="00C35B39">
        <w:rPr>
          <w:rFonts w:asciiTheme="majorHAnsi" w:eastAsia="Times New Roman" w:hAnsiTheme="majorHAnsi" w:cs="Arial"/>
          <w:i/>
        </w:rPr>
        <w:t xml:space="preserve">           </w:t>
      </w:r>
      <w:r w:rsidRPr="0023602F">
        <w:rPr>
          <w:rFonts w:asciiTheme="majorHAnsi" w:eastAsia="Times New Roman" w:hAnsiTheme="majorHAnsi" w:cs="Arial"/>
          <w:i/>
        </w:rPr>
        <w:t>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enhancement of the quality of life for all persons, locally and globally.</w:t>
      </w:r>
    </w:p>
    <w:p w:rsidR="000D616F" w:rsidRPr="0023602F" w:rsidRDefault="000D616F" w:rsidP="000D616F">
      <w:pPr>
        <w:pStyle w:val="ListParagraph"/>
        <w:numPr>
          <w:ilvl w:val="0"/>
          <w:numId w:val="23"/>
        </w:numPr>
        <w:spacing w:after="0" w:line="240" w:lineRule="auto"/>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0D616F" w:rsidRPr="009852A9" w:rsidRDefault="000D616F" w:rsidP="009852A9">
      <w:pPr>
        <w:jc w:val="center"/>
        <w:rPr>
          <w:b/>
          <w:bCs/>
          <w:color w:val="C00000"/>
          <w:sz w:val="24"/>
          <w:szCs w:val="24"/>
        </w:rPr>
      </w:pPr>
    </w:p>
    <w:tbl>
      <w:tblPr>
        <w:tblW w:w="9918" w:type="dxa"/>
        <w:tblLook w:val="04A0" w:firstRow="1" w:lastRow="0" w:firstColumn="1" w:lastColumn="0" w:noHBand="0" w:noVBand="1"/>
      </w:tblPr>
      <w:tblGrid>
        <w:gridCol w:w="1620"/>
        <w:gridCol w:w="3258"/>
        <w:gridCol w:w="2070"/>
        <w:gridCol w:w="2970"/>
      </w:tblGrid>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Instructor: </w:t>
            </w:r>
            <w:r w:rsidR="00F30044">
              <w:rPr>
                <w:b/>
                <w:bCs/>
                <w:sz w:val="24"/>
                <w:szCs w:val="24"/>
              </w:rPr>
              <w:t xml:space="preserve"> </w:t>
            </w:r>
          </w:p>
        </w:tc>
        <w:tc>
          <w:tcPr>
            <w:tcW w:w="8298" w:type="dxa"/>
            <w:gridSpan w:val="3"/>
          </w:tcPr>
          <w:p w:rsidR="009852A9" w:rsidRPr="009852A9" w:rsidRDefault="00F30044" w:rsidP="00A116A1">
            <w:pPr>
              <w:tabs>
                <w:tab w:val="left" w:pos="1620"/>
              </w:tabs>
              <w:rPr>
                <w:bCs/>
                <w:sz w:val="24"/>
                <w:szCs w:val="24"/>
              </w:rPr>
            </w:pPr>
            <w:r>
              <w:rPr>
                <w:bCs/>
                <w:sz w:val="24"/>
                <w:szCs w:val="24"/>
              </w:rPr>
              <w:t>Jane James</w:t>
            </w:r>
          </w:p>
        </w:tc>
      </w:tr>
      <w:tr w:rsidR="009852A9" w:rsidRPr="009852A9" w:rsidTr="00A116A1">
        <w:trPr>
          <w:cantSplit/>
        </w:trPr>
        <w:tc>
          <w:tcPr>
            <w:tcW w:w="1620" w:type="dxa"/>
          </w:tcPr>
          <w:p w:rsidR="009852A9" w:rsidRPr="009852A9" w:rsidRDefault="00F30044" w:rsidP="00A116A1">
            <w:pPr>
              <w:tabs>
                <w:tab w:val="left" w:pos="1620"/>
              </w:tabs>
              <w:rPr>
                <w:b/>
                <w:bCs/>
                <w:sz w:val="24"/>
                <w:szCs w:val="24"/>
              </w:rPr>
            </w:pPr>
            <w:r>
              <w:rPr>
                <w:b/>
                <w:bCs/>
                <w:sz w:val="24"/>
                <w:szCs w:val="24"/>
              </w:rPr>
              <w:t xml:space="preserve">E-Mail:  </w:t>
            </w:r>
          </w:p>
        </w:tc>
        <w:tc>
          <w:tcPr>
            <w:tcW w:w="3258" w:type="dxa"/>
          </w:tcPr>
          <w:p w:rsidR="009852A9" w:rsidRPr="009852A9" w:rsidRDefault="00485074" w:rsidP="00A116A1">
            <w:pPr>
              <w:tabs>
                <w:tab w:val="left" w:pos="1620"/>
              </w:tabs>
              <w:rPr>
                <w:bCs/>
                <w:sz w:val="24"/>
                <w:szCs w:val="24"/>
              </w:rPr>
            </w:pPr>
            <w:r>
              <w:rPr>
                <w:bCs/>
                <w:sz w:val="24"/>
                <w:szCs w:val="24"/>
              </w:rPr>
              <w:t>janejame@usc.edu</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Day:</w:t>
            </w:r>
          </w:p>
        </w:tc>
        <w:tc>
          <w:tcPr>
            <w:tcW w:w="2970" w:type="dxa"/>
          </w:tcPr>
          <w:p w:rsidR="009852A9" w:rsidRPr="009852A9" w:rsidRDefault="00485074" w:rsidP="00A116A1">
            <w:pPr>
              <w:tabs>
                <w:tab w:val="left" w:pos="1620"/>
              </w:tabs>
              <w:rPr>
                <w:bCs/>
                <w:sz w:val="24"/>
                <w:szCs w:val="24"/>
              </w:rPr>
            </w:pPr>
            <w:r>
              <w:rPr>
                <w:bCs/>
                <w:sz w:val="24"/>
                <w:szCs w:val="24"/>
              </w:rPr>
              <w:t>Tuesday</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Telephone:</w:t>
            </w:r>
          </w:p>
        </w:tc>
        <w:tc>
          <w:tcPr>
            <w:tcW w:w="3258" w:type="dxa"/>
          </w:tcPr>
          <w:p w:rsidR="009852A9" w:rsidRPr="009852A9" w:rsidRDefault="00485074" w:rsidP="00A116A1">
            <w:pPr>
              <w:tabs>
                <w:tab w:val="left" w:pos="1620"/>
              </w:tabs>
              <w:rPr>
                <w:bCs/>
                <w:sz w:val="24"/>
                <w:szCs w:val="24"/>
              </w:rPr>
            </w:pPr>
            <w:r>
              <w:rPr>
                <w:bCs/>
                <w:sz w:val="24"/>
                <w:szCs w:val="24"/>
              </w:rPr>
              <w:t>407-697-0921</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tc>
        <w:tc>
          <w:tcPr>
            <w:tcW w:w="2970" w:type="dxa"/>
          </w:tcPr>
          <w:p w:rsidR="009852A9" w:rsidRPr="009852A9" w:rsidRDefault="008579EE" w:rsidP="00A116A1">
            <w:pPr>
              <w:tabs>
                <w:tab w:val="left" w:pos="1620"/>
              </w:tabs>
              <w:rPr>
                <w:bCs/>
                <w:sz w:val="24"/>
                <w:szCs w:val="24"/>
              </w:rPr>
            </w:pPr>
            <w:r>
              <w:rPr>
                <w:bCs/>
                <w:sz w:val="24"/>
                <w:szCs w:val="24"/>
              </w:rPr>
              <w:t>4:00pm – 5:15</w:t>
            </w:r>
            <w:r w:rsidR="00485074">
              <w:rPr>
                <w:bCs/>
                <w:sz w:val="24"/>
                <w:szCs w:val="24"/>
              </w:rPr>
              <w:t>pm</w:t>
            </w:r>
            <w:r w:rsidR="00D76C6F">
              <w:rPr>
                <w:bCs/>
                <w:sz w:val="24"/>
                <w:szCs w:val="24"/>
              </w:rPr>
              <w:t xml:space="preserve"> (Pacific Time)</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Office: </w:t>
            </w:r>
          </w:p>
        </w:tc>
        <w:tc>
          <w:tcPr>
            <w:tcW w:w="3258" w:type="dxa"/>
          </w:tcPr>
          <w:p w:rsidR="009852A9" w:rsidRPr="009852A9" w:rsidRDefault="00485074" w:rsidP="00A116A1">
            <w:pPr>
              <w:tabs>
                <w:tab w:val="left" w:pos="1620"/>
              </w:tabs>
              <w:rPr>
                <w:bCs/>
                <w:sz w:val="24"/>
                <w:szCs w:val="24"/>
              </w:rPr>
            </w:pPr>
            <w:r>
              <w:rPr>
                <w:bCs/>
                <w:sz w:val="24"/>
                <w:szCs w:val="24"/>
              </w:rPr>
              <w:t>VAC</w:t>
            </w:r>
          </w:p>
        </w:tc>
        <w:tc>
          <w:tcPr>
            <w:tcW w:w="2070"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p>
        </w:tc>
        <w:tc>
          <w:tcPr>
            <w:tcW w:w="2970" w:type="dxa"/>
            <w:vMerge w:val="restart"/>
          </w:tcPr>
          <w:p w:rsidR="009852A9" w:rsidRPr="009852A9" w:rsidRDefault="00485074" w:rsidP="00A116A1">
            <w:pPr>
              <w:tabs>
                <w:tab w:val="left" w:pos="1620"/>
              </w:tabs>
              <w:rPr>
                <w:bCs/>
                <w:sz w:val="24"/>
                <w:szCs w:val="24"/>
              </w:rPr>
            </w:pPr>
            <w:r>
              <w:rPr>
                <w:bCs/>
                <w:sz w:val="24"/>
                <w:szCs w:val="24"/>
              </w:rPr>
              <w:t>VAC</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Office Hours:</w:t>
            </w:r>
          </w:p>
        </w:tc>
        <w:tc>
          <w:tcPr>
            <w:tcW w:w="3258" w:type="dxa"/>
          </w:tcPr>
          <w:p w:rsidR="009852A9" w:rsidRPr="009852A9" w:rsidRDefault="00D76C6F" w:rsidP="00A116A1">
            <w:pPr>
              <w:tabs>
                <w:tab w:val="left" w:pos="1620"/>
              </w:tabs>
              <w:rPr>
                <w:bCs/>
                <w:sz w:val="24"/>
                <w:szCs w:val="24"/>
              </w:rPr>
            </w:pPr>
            <w:r>
              <w:rPr>
                <w:bCs/>
                <w:sz w:val="24"/>
                <w:szCs w:val="24"/>
              </w:rPr>
              <w:t xml:space="preserve">11:00am – 12pm (Pacific Time) and </w:t>
            </w:r>
            <w:r w:rsidR="00485074">
              <w:rPr>
                <w:bCs/>
                <w:sz w:val="24"/>
                <w:szCs w:val="24"/>
              </w:rPr>
              <w:t>By Appointment</w:t>
            </w:r>
          </w:p>
        </w:tc>
        <w:tc>
          <w:tcPr>
            <w:tcW w:w="2070" w:type="dxa"/>
            <w:vMerge/>
          </w:tcPr>
          <w:p w:rsidR="009852A9" w:rsidRPr="009852A9" w:rsidRDefault="009852A9" w:rsidP="00A116A1">
            <w:pPr>
              <w:tabs>
                <w:tab w:val="left" w:pos="1620"/>
              </w:tabs>
              <w:rPr>
                <w:b/>
                <w:bCs/>
                <w:sz w:val="24"/>
                <w:szCs w:val="24"/>
              </w:rPr>
            </w:pPr>
          </w:p>
        </w:tc>
        <w:tc>
          <w:tcPr>
            <w:tcW w:w="2970" w:type="dxa"/>
            <w:vMerge/>
          </w:tcPr>
          <w:p w:rsidR="009852A9" w:rsidRPr="009852A9" w:rsidRDefault="009852A9" w:rsidP="00A116A1">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r w:rsidR="001E42AC">
        <w:t>9</w:t>
      </w:r>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026C4" w:rsidRPr="00D84F7C" w:rsidTr="00B026C4">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073FC1" w:rsidTr="00F819BE">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rsidTr="00F819BE">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are mediated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r w:rsidRPr="00903937">
              <w:rPr>
                <w:sz w:val="18"/>
                <w:szCs w:val="18"/>
              </w:rPr>
              <w:t>local,state,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r w:rsidRPr="00903937">
              <w:rPr>
                <w:sz w:val="18"/>
                <w:szCs w:val="18"/>
              </w:rPr>
              <w:t>services.</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r w:rsidRPr="00903937">
              <w:rPr>
                <w:sz w:val="18"/>
                <w:szCs w:val="18"/>
              </w:rPr>
              <w:t>analyze,formulate,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environmental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r w:rsidRPr="00903937">
              <w:rPr>
                <w:sz w:val="18"/>
                <w:szCs w:val="18"/>
              </w:rPr>
              <w:t>within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Understand theories of human behavior and the social environment, and critically evaluate and apply this knowledge to effectively intervene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r w:rsidRPr="00903937">
              <w:rPr>
                <w:sz w:val="18"/>
                <w:szCs w:val="18"/>
              </w:rPr>
              <w:t>and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r w:rsidRPr="00903937">
              <w:rPr>
                <w:sz w:val="18"/>
                <w:szCs w:val="18"/>
              </w:rPr>
              <w:t>agreed-on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32298E">
            <w:pPr>
              <w:jc w:val="center"/>
              <w:rPr>
                <w:rFonts w:cs="Arial"/>
              </w:rPr>
            </w:pPr>
            <w:r>
              <w:rPr>
                <w:rFonts w:cs="Arial"/>
              </w:rPr>
              <w:t xml:space="preserve">Class </w:t>
            </w:r>
            <w:r w:rsidR="0032298E">
              <w:rPr>
                <w:rFonts w:cs="Arial"/>
              </w:rPr>
              <w:t>3</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 grade, due class 3</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w:t>
      </w:r>
      <w:r w:rsidR="004F04C2">
        <w:rPr>
          <w:sz w:val="24"/>
        </w:rPr>
        <w:t xml:space="preserve">It is assigned during the Community Immersion workshops, prior to the first regular class. </w:t>
      </w:r>
      <w:r>
        <w:rPr>
          <w:sz w:val="24"/>
        </w:rPr>
        <w:t xml:space="preserve">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may be shared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impact its objective(s),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872995" w:rsidRDefault="00872995" w:rsidP="00344E2C"/>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Default="0009036D" w:rsidP="00BF0512"/>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involvement in this class is considered essential to your growth as a practitioner. You will be asked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09036D" w:rsidRPr="006D49DD">
        <w:rPr>
          <w:rFonts w:asciiTheme="minorHAnsi" w:hAnsiTheme="minorHAnsi" w:cstheme="minorHAnsi"/>
          <w:sz w:val="22"/>
          <w:szCs w:val="22"/>
        </w:rPr>
        <w:t xml:space="preserve">in-class </w:t>
      </w:r>
      <w:r w:rsidR="00E52DF0" w:rsidRPr="006D49DD">
        <w:rPr>
          <w:rFonts w:asciiTheme="minorHAnsi" w:hAnsiTheme="minorHAnsi" w:cstheme="minorHAnsi"/>
          <w:sz w:val="22"/>
          <w:szCs w:val="22"/>
        </w:rPr>
        <w:t xml:space="preserve">material </w:t>
      </w:r>
      <w:r w:rsidR="00E52DF0" w:rsidRPr="006D49DD">
        <w:rPr>
          <w:rFonts w:ascii="Calibri" w:hAnsi="Calibri" w:cs="Calibri"/>
          <w:sz w:val="22"/>
          <w:szCs w:val="22"/>
        </w:rPr>
        <w:t>is</w:t>
      </w:r>
      <w:r w:rsidR="0009036D" w:rsidRPr="006D49DD">
        <w:rPr>
          <w:rFonts w:ascii="Calibri" w:hAnsi="Calibri" w:cs="Calibri"/>
          <w:sz w:val="22"/>
          <w:szCs w:val="22"/>
        </w:rPr>
        <w:t xml:space="preserve"> usually on target and on topic. Challenges are well substantiated, often persuasive, and presented with excellent comportment. If this person were not a member of the class, the quality of discussion would be diminished.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45C76">
        <w:t xml:space="preserve">, Bruce (2015).  </w:t>
      </w:r>
      <w:r w:rsidRPr="00212684">
        <w:rPr>
          <w:i/>
        </w:rPr>
        <w:t>Social Welfare Policy and Advocacy: Advancing Social Justice Through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w:t>
      </w:r>
      <w:r w:rsidR="00E52DF0">
        <w:t>Justice.</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 xml:space="preserve">Insurances to create security: Social Security, Disability, Unemployment, Medicare &amp; </w:t>
      </w:r>
      <w:r w:rsidR="00E52DF0">
        <w:t>ACA</w:t>
      </w:r>
      <w:r w:rsidR="00E52DF0" w:rsidRPr="00EA36A8">
        <w:t>.</w:t>
      </w:r>
    </w:p>
    <w:p w:rsidR="002E2B2F" w:rsidRDefault="004550FE" w:rsidP="003B2521">
      <w:pPr>
        <w:pStyle w:val="ListParagraph"/>
        <w:numPr>
          <w:ilvl w:val="1"/>
          <w:numId w:val="21"/>
        </w:numPr>
        <w:jc w:val="both"/>
      </w:pPr>
      <w:r>
        <w:t xml:space="preserve">Policies </w:t>
      </w:r>
      <w:r w:rsidR="002E2B2F">
        <w:t>to create opportunity: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Pr="00E73875" w:rsidRDefault="00645C76" w:rsidP="00E73875">
      <w:pPr>
        <w:ind w:left="360"/>
        <w:rPr>
          <w:i/>
        </w:rPr>
      </w:pPr>
      <w:r>
        <w:t xml:space="preserve">Jansson, Bruce (2015).  </w:t>
      </w:r>
      <w:r w:rsidR="00AF006B">
        <w:t xml:space="preserve">Advancing Social Justice in 8 Policy Sectors. In </w:t>
      </w:r>
      <w:r w:rsidRPr="00E73875">
        <w:rPr>
          <w:i/>
        </w:rPr>
        <w:t xml:space="preserve">Social Welfare Policy and Advocacy: Advancing Social Justice Through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r>
        <w:t xml:space="preserve">Jansson, Bruce (2015).  </w:t>
      </w:r>
      <w:r w:rsidRPr="00EC74FB">
        <w:t>Becoming Policy Advocates in the Safety Net Sector</w:t>
      </w:r>
      <w:r>
        <w:t xml:space="preserve">. In </w:t>
      </w:r>
      <w:r w:rsidRPr="00212684">
        <w:rPr>
          <w:i/>
        </w:rPr>
        <w:t xml:space="preserve">Social Welfare Policy and Advocacy: Advancing Social Justice Through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r w:rsidR="00E52DF0">
        <w:t>i.e.</w:t>
      </w:r>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Pr="004850E4" w:rsidRDefault="002E2B2F" w:rsidP="003B2521">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shared in this class.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r>
        <w:t xml:space="preserve">Jansson, Bruce (2015).  </w:t>
      </w:r>
      <w:r w:rsidRPr="00EC74FB">
        <w:t>Deciding When to Challenge the Status Quo</w:t>
      </w:r>
      <w:r>
        <w:t xml:space="preserve">. In </w:t>
      </w:r>
      <w:r w:rsidRPr="00212684">
        <w:rPr>
          <w:i/>
        </w:rPr>
        <w:t xml:space="preserve">Social Welfare Policy and Advocacy: Advancing Social Justice Through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rsidR="00E52DF0">
        <w:t>; and</w:t>
      </w:r>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r>
        <w:t xml:space="preserve">Jansson, Bruce (2015).  </w:t>
      </w:r>
      <w:r w:rsidRPr="00EC74FB">
        <w:t>Becoming Policy Advocates in the Gerontology Sector</w:t>
      </w:r>
      <w:r>
        <w:t xml:space="preserve">. In </w:t>
      </w:r>
      <w:r w:rsidRPr="00212684">
        <w:rPr>
          <w:i/>
        </w:rPr>
        <w:t xml:space="preserve">Social Welfare Policy and Advocacy: Advancing Social Justice Through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p w:rsidR="00CE1F94" w:rsidRDefault="00CE1F94"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Describe the reforms and procedures and systems created by the Affordable Care Act; the implementation thereof; and any results therefrom.</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r>
        <w:t xml:space="preserve">Jansson, Bruce (2015).  </w:t>
      </w:r>
      <w:r w:rsidRPr="00EC74FB">
        <w:t>Becoming Policy Advocates in the Healthcare Sector</w:t>
      </w:r>
      <w:r>
        <w:t xml:space="preserve">. In </w:t>
      </w:r>
      <w:r w:rsidRPr="00212684">
        <w:rPr>
          <w:i/>
        </w:rPr>
        <w:t xml:space="preserve">Social Welfare Policy and Advocacy: Advancing Social Justice Through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rsidR="00E52DF0">
        <w:t>; and</w:t>
      </w:r>
      <w:r>
        <w:t xml:space="preserve"> (iv) compare what expected outcomes should be vs. what actual health outcomes are…</w:t>
      </w:r>
    </w:p>
    <w:p w:rsidR="00A455BD" w:rsidRDefault="00A455BD" w:rsidP="00A455BD">
      <w:pPr>
        <w:pStyle w:val="ListParagraph"/>
        <w:numPr>
          <w:ilvl w:val="0"/>
          <w:numId w:val="7"/>
        </w:numPr>
      </w:pPr>
      <w:r>
        <w:t xml:space="preserve">Special issues may be discussed,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r>
        <w:t xml:space="preserve">Jansson, Bruce (2015).  </w:t>
      </w:r>
      <w:r w:rsidRPr="00EC74FB">
        <w:t>Becoming Policy Advocates in the Mental Health Sector</w:t>
      </w:r>
      <w:r>
        <w:t xml:space="preserve">. In </w:t>
      </w:r>
      <w:r w:rsidRPr="00212684">
        <w:rPr>
          <w:i/>
        </w:rPr>
        <w:t xml:space="preserve">Social Welfare Policy and Advocacy: Advancing Social Justice Through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w:t>
      </w:r>
      <w:r w:rsidR="00E52DF0">
        <w:t>administrations expansion</w:t>
      </w:r>
      <w:r>
        <w:t xml:space="preserve">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(ie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r>
        <w:t xml:space="preserve">Jansson, Bruce (2015).  </w:t>
      </w:r>
      <w:r w:rsidRPr="00EC74FB">
        <w:t>Initiating Policy Advocacy at Three Levels</w:t>
      </w:r>
      <w:r>
        <w:t xml:space="preserve">. In </w:t>
      </w:r>
      <w:r w:rsidRPr="00212684">
        <w:rPr>
          <w:i/>
        </w:rPr>
        <w:t xml:space="preserve">Social Welfare Policy and Advocacy: Advancing Social Justice Through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 xml:space="preserve">(i) the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r>
        <w:t xml:space="preserve">Jansson, Bruce (2015).  </w:t>
      </w:r>
      <w:r w:rsidRPr="00EC74FB">
        <w:t>Becoming Policy Advocates in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 xml:space="preserve">Jansson, Bruce (2015).  </w:t>
      </w:r>
      <w:r w:rsidRPr="00EC74FB">
        <w:t>Becoming Policy Advocates in Education Sector</w:t>
      </w:r>
      <w:r>
        <w:t xml:space="preserve">. In </w:t>
      </w:r>
      <w:r w:rsidRPr="00212684">
        <w:rPr>
          <w:i/>
        </w:rPr>
        <w:t xml:space="preserve">Social Welfare Policy and Advocacy: Advancing Social Justice Through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r>
        <w:t xml:space="preserve">Jansson, Bruce (2015).  </w:t>
      </w:r>
      <w:r w:rsidRPr="003B2521">
        <w:t>Understanding the political economy of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e Against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1E42AC" w:rsidRDefault="001E42AC" w:rsidP="001E42AC">
      <w:pPr>
        <w:pStyle w:val="Heading1"/>
        <w:ind w:left="360"/>
      </w:pPr>
      <w:r w:rsidRPr="00D7741C">
        <w:t>Attendance Policy</w:t>
      </w:r>
    </w:p>
    <w:p w:rsidR="001E42AC" w:rsidRPr="00D20FB5" w:rsidRDefault="001E42AC" w:rsidP="001E42A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rsidR="001E42AC" w:rsidRDefault="001E42AC" w:rsidP="001E42A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E42AC" w:rsidRPr="00D20FB5" w:rsidRDefault="001E42AC" w:rsidP="001E42AC">
      <w:pPr>
        <w:pStyle w:val="BodyText"/>
      </w:pPr>
      <w:r w:rsidRPr="00D20FB5">
        <w:t>Please refer to Scampus and to the USC School of Social Work Student Handbook for additional information on attendance policies.</w:t>
      </w:r>
    </w:p>
    <w:p w:rsidR="00C927AF" w:rsidRPr="00C927AF" w:rsidRDefault="00C927AF" w:rsidP="00C927AF">
      <w:pPr>
        <w:keepNext/>
        <w:numPr>
          <w:ilvl w:val="0"/>
          <w:numId w:val="19"/>
        </w:numPr>
        <w:spacing w:before="220" w:after="220" w:line="240" w:lineRule="auto"/>
        <w:ind w:left="360"/>
        <w:outlineLvl w:val="0"/>
        <w:rPr>
          <w:rFonts w:ascii="Arial" w:eastAsia="Times New Roman" w:hAnsi="Arial" w:cs="Times New Roman"/>
          <w:b/>
          <w:bCs/>
          <w:smallCaps/>
          <w:color w:val="C00000"/>
          <w:szCs w:val="24"/>
          <w:lang w:val="x-none" w:eastAsia="x-none"/>
        </w:rPr>
      </w:pPr>
      <w:r w:rsidRPr="00C927AF">
        <w:rPr>
          <w:rFonts w:ascii="Arial" w:eastAsia="Times New Roman" w:hAnsi="Arial" w:cs="Times New Roman"/>
          <w:b/>
          <w:bCs/>
          <w:smallCaps/>
          <w:color w:val="C00000"/>
          <w:szCs w:val="24"/>
          <w:lang w:val="x-none" w:eastAsia="x-none"/>
        </w:rPr>
        <w:t>Academic Conduct</w:t>
      </w:r>
    </w:p>
    <w:p w:rsidR="00C927AF" w:rsidRPr="00C927AF" w:rsidRDefault="00C927AF" w:rsidP="00C927AF">
      <w:pPr>
        <w:spacing w:after="0" w:line="240" w:lineRule="auto"/>
        <w:ind w:right="720"/>
        <w:rPr>
          <w:rFonts w:ascii="Arial" w:eastAsia="Times New Roman" w:hAnsi="Arial" w:cs="Arial"/>
          <w:sz w:val="20"/>
          <w:szCs w:val="20"/>
        </w:rPr>
      </w:pPr>
      <w:r w:rsidRPr="00C927AF">
        <w:rPr>
          <w:rFonts w:ascii="Arial" w:eastAsia="Times New Roman"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C927AF">
        <w:rPr>
          <w:rFonts w:ascii="Arial" w:eastAsia="Times New Roman" w:hAnsi="Arial" w:cs="Arial"/>
          <w:i/>
          <w:iCs/>
          <w:color w:val="000000"/>
          <w:sz w:val="20"/>
          <w:szCs w:val="20"/>
        </w:rPr>
        <w:t>SCampus</w:t>
      </w:r>
      <w:r w:rsidRPr="00C927AF">
        <w:rPr>
          <w:rFonts w:ascii="Arial" w:eastAsia="Times New Roman" w:hAnsi="Arial" w:cs="Arial"/>
          <w:color w:val="000000"/>
          <w:sz w:val="20"/>
          <w:szCs w:val="20"/>
        </w:rPr>
        <w:t xml:space="preserve"> in Section 11, </w:t>
      </w:r>
      <w:r w:rsidRPr="00C927AF">
        <w:rPr>
          <w:rFonts w:ascii="Arial" w:eastAsia="Times New Roman" w:hAnsi="Arial" w:cs="Arial"/>
          <w:i/>
          <w:iCs/>
          <w:color w:val="000000"/>
          <w:sz w:val="20"/>
          <w:szCs w:val="20"/>
        </w:rPr>
        <w:t xml:space="preserve">Behavior Violating University Standards </w:t>
      </w:r>
      <w:hyperlink r:id="rId10" w:history="1">
        <w:r w:rsidRPr="00C927AF">
          <w:rPr>
            <w:rFonts w:ascii="Arial" w:eastAsia="Times New Roman" w:hAnsi="Arial" w:cs="Arial"/>
            <w:color w:val="0000FF"/>
            <w:sz w:val="20"/>
            <w:szCs w:val="20"/>
            <w:u w:val="single"/>
          </w:rPr>
          <w:t>https://policy.usc.edu/scampus-part-b/</w:t>
        </w:r>
      </w:hyperlink>
      <w:r w:rsidRPr="00C927AF">
        <w:rPr>
          <w:rFonts w:ascii="Arial" w:eastAsia="Times New Roman" w:hAnsi="Arial" w:cs="Arial"/>
          <w:color w:val="000000"/>
          <w:sz w:val="20"/>
          <w:szCs w:val="20"/>
        </w:rPr>
        <w:t xml:space="preserve">.  Other forms of academic dishonesty are equally unacceptable.  See additional information in </w:t>
      </w:r>
      <w:r w:rsidRPr="00C927AF">
        <w:rPr>
          <w:rFonts w:ascii="Arial" w:eastAsia="Times New Roman" w:hAnsi="Arial" w:cs="Arial"/>
          <w:i/>
          <w:iCs/>
          <w:color w:val="000000"/>
          <w:sz w:val="20"/>
          <w:szCs w:val="20"/>
        </w:rPr>
        <w:t xml:space="preserve">SCampus </w:t>
      </w:r>
      <w:r w:rsidRPr="00C927AF">
        <w:rPr>
          <w:rFonts w:ascii="Arial" w:eastAsia="Times New Roman" w:hAnsi="Arial" w:cs="Arial"/>
          <w:color w:val="000000"/>
          <w:sz w:val="20"/>
          <w:szCs w:val="20"/>
        </w:rPr>
        <w:t xml:space="preserve">and university policies on scientific misconduct, </w:t>
      </w:r>
      <w:hyperlink r:id="rId11" w:history="1">
        <w:r w:rsidRPr="00C927AF">
          <w:rPr>
            <w:rFonts w:ascii="Arial" w:eastAsia="Times New Roman" w:hAnsi="Arial" w:cs="Arial"/>
            <w:color w:val="0000FF"/>
            <w:sz w:val="20"/>
            <w:szCs w:val="20"/>
            <w:u w:val="single"/>
          </w:rPr>
          <w:t>http://policy.usc.edu/scientific-misconduct/</w:t>
        </w:r>
      </w:hyperlink>
      <w:r w:rsidRPr="00C927AF">
        <w:rPr>
          <w:rFonts w:ascii="Arial" w:eastAsia="Times New Roman" w:hAnsi="Arial" w:cs="Arial"/>
          <w:color w:val="000000"/>
          <w:sz w:val="20"/>
          <w:szCs w:val="20"/>
        </w:rPr>
        <w:t>.</w:t>
      </w:r>
    </w:p>
    <w:p w:rsidR="00C927AF" w:rsidRPr="00C927AF" w:rsidRDefault="00C927AF" w:rsidP="00C927AF">
      <w:pPr>
        <w:spacing w:after="0" w:line="240" w:lineRule="auto"/>
        <w:ind w:right="720"/>
        <w:rPr>
          <w:rFonts w:ascii="Arial" w:eastAsia="Times New Roman" w:hAnsi="Arial" w:cs="Arial"/>
          <w:sz w:val="20"/>
          <w:szCs w:val="20"/>
        </w:rPr>
      </w:pPr>
    </w:p>
    <w:p w:rsidR="00C927AF" w:rsidRPr="00C927AF" w:rsidRDefault="00C927AF" w:rsidP="00C927AF">
      <w:pPr>
        <w:keepNext/>
        <w:numPr>
          <w:ilvl w:val="0"/>
          <w:numId w:val="19"/>
        </w:numPr>
        <w:spacing w:before="220" w:after="220" w:line="240" w:lineRule="auto"/>
        <w:ind w:left="360"/>
        <w:outlineLvl w:val="0"/>
        <w:rPr>
          <w:rFonts w:ascii="Arial" w:eastAsia="Times New Roman" w:hAnsi="Arial" w:cs="Times New Roman"/>
          <w:b/>
          <w:bCs/>
          <w:smallCaps/>
          <w:color w:val="C00000"/>
          <w:szCs w:val="24"/>
          <w:lang w:val="x-none" w:eastAsia="x-none"/>
        </w:rPr>
      </w:pPr>
      <w:r w:rsidRPr="00C927AF">
        <w:rPr>
          <w:rFonts w:ascii="Arial" w:eastAsia="Times New Roman" w:hAnsi="Arial" w:cs="Times New Roman"/>
          <w:b/>
          <w:bCs/>
          <w:smallCaps/>
          <w:color w:val="C00000"/>
          <w:szCs w:val="24"/>
          <w:lang w:val="x-none" w:eastAsia="x-none"/>
        </w:rPr>
        <w:t>Support Systems</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i/>
          <w:iCs/>
          <w:sz w:val="20"/>
          <w:szCs w:val="20"/>
        </w:rPr>
        <w:t>Student Counseling Services (SCS) - (213) 740-7711 – 24/7 on call</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sz w:val="20"/>
          <w:szCs w:val="20"/>
        </w:rPr>
        <w:t>Free and confidential mental health treatment for students, including short-term psychotherapy, group counseling, stress fitness workshops, and crisis intervention.</w:t>
      </w:r>
      <w:hyperlink r:id="rId12" w:history="1">
        <w:r w:rsidRPr="00C927AF">
          <w:rPr>
            <w:rFonts w:ascii="Arial" w:eastAsia="Times New Roman" w:hAnsi="Arial" w:cs="Arial"/>
            <w:color w:val="0000FF"/>
            <w:sz w:val="20"/>
            <w:szCs w:val="20"/>
            <w:u w:val="single"/>
          </w:rPr>
          <w:t xml:space="preserve"> https://engemannshc.usc.edu/counseling/</w:t>
        </w:r>
      </w:hyperlink>
    </w:p>
    <w:p w:rsidR="00C927AF" w:rsidRPr="00C927AF" w:rsidRDefault="00C927AF" w:rsidP="00C927AF">
      <w:pPr>
        <w:spacing w:after="0" w:line="240" w:lineRule="auto"/>
        <w:ind w:left="720"/>
        <w:rPr>
          <w:rFonts w:ascii="Arial" w:eastAsia="Times New Roman" w:hAnsi="Arial" w:cs="Arial"/>
          <w:sz w:val="20"/>
          <w:szCs w:val="20"/>
        </w:rPr>
      </w:pPr>
      <w:r w:rsidRPr="00C927AF">
        <w:rPr>
          <w:rFonts w:ascii="Arial" w:eastAsia="Times New Roman" w:hAnsi="Arial" w:cs="Arial"/>
          <w:b/>
          <w:bCs/>
          <w:sz w:val="20"/>
          <w:szCs w:val="20"/>
        </w:rPr>
        <w:t> </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i/>
          <w:iCs/>
          <w:sz w:val="20"/>
          <w:szCs w:val="20"/>
        </w:rPr>
        <w:t>National Suicide Prevention Lifeline - 1-800-273-8255</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sz w:val="20"/>
          <w:szCs w:val="20"/>
        </w:rPr>
        <w:t>Provides free and confidential emotional support to people in suicidal crisis or emotional distress 24 hours a day, 7 days a week.</w:t>
      </w:r>
      <w:hyperlink r:id="rId13" w:history="1">
        <w:r w:rsidRPr="00C927AF">
          <w:rPr>
            <w:rFonts w:ascii="Arial" w:eastAsia="Times New Roman" w:hAnsi="Arial" w:cs="Arial"/>
            <w:color w:val="0000FF"/>
            <w:sz w:val="20"/>
            <w:szCs w:val="20"/>
            <w:u w:val="single"/>
          </w:rPr>
          <w:t xml:space="preserve"> http://www.suicidepreventionlifeline.org</w:t>
        </w:r>
      </w:hyperlink>
    </w:p>
    <w:p w:rsidR="00C927AF" w:rsidRPr="00C927AF" w:rsidRDefault="00C927AF" w:rsidP="00C927AF">
      <w:pPr>
        <w:spacing w:after="0" w:line="240" w:lineRule="auto"/>
        <w:ind w:left="720"/>
        <w:rPr>
          <w:rFonts w:ascii="Arial" w:eastAsia="Times New Roman" w:hAnsi="Arial" w:cs="Arial"/>
          <w:sz w:val="20"/>
          <w:szCs w:val="20"/>
        </w:rPr>
      </w:pPr>
      <w:r w:rsidRPr="00C927AF">
        <w:rPr>
          <w:rFonts w:ascii="Arial" w:eastAsia="Times New Roman" w:hAnsi="Arial" w:cs="Arial"/>
          <w:b/>
          <w:bCs/>
          <w:sz w:val="20"/>
          <w:szCs w:val="20"/>
        </w:rPr>
        <w:t> </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i/>
          <w:iCs/>
          <w:sz w:val="20"/>
          <w:szCs w:val="20"/>
        </w:rPr>
        <w:t>Relationship &amp; Sexual Violence Prevention Services (RSVP) - (213) 740-4900 - 24/7 on call</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sz w:val="20"/>
          <w:szCs w:val="20"/>
        </w:rPr>
        <w:t xml:space="preserve">Free and confidential therapy services, workshops, and training for situations related to gender-based harm. </w:t>
      </w:r>
      <w:hyperlink r:id="rId14" w:history="1">
        <w:r w:rsidRPr="00C927AF">
          <w:rPr>
            <w:rFonts w:ascii="Arial" w:eastAsia="Times New Roman" w:hAnsi="Arial" w:cs="Arial"/>
            <w:color w:val="0000FF"/>
            <w:sz w:val="20"/>
            <w:szCs w:val="20"/>
            <w:u w:val="single"/>
          </w:rPr>
          <w:t>https://engemannshc.usc.edu/rsvp/</w:t>
        </w:r>
      </w:hyperlink>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b/>
          <w:bCs/>
          <w:sz w:val="20"/>
          <w:szCs w:val="20"/>
        </w:rPr>
        <w:t> </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i/>
          <w:iCs/>
          <w:sz w:val="20"/>
          <w:szCs w:val="20"/>
        </w:rPr>
        <w:t>Sexual Assault Resource Center</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sz w:val="20"/>
          <w:szCs w:val="20"/>
        </w:rPr>
        <w:t>For more information about how to get help or help a survivor, rights, reporting options, and additional resources, visit the website:</w:t>
      </w:r>
      <w:hyperlink r:id="rId15" w:history="1">
        <w:r w:rsidRPr="00C927AF">
          <w:rPr>
            <w:rFonts w:ascii="Arial" w:eastAsia="Times New Roman" w:hAnsi="Arial" w:cs="Arial"/>
            <w:color w:val="0000FF"/>
            <w:sz w:val="20"/>
            <w:szCs w:val="20"/>
            <w:u w:val="single"/>
          </w:rPr>
          <w:t xml:space="preserve"> http://sarc.usc.edu/</w:t>
        </w:r>
      </w:hyperlink>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b/>
          <w:bCs/>
          <w:sz w:val="20"/>
          <w:szCs w:val="20"/>
        </w:rPr>
        <w:t> </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i/>
          <w:iCs/>
          <w:sz w:val="20"/>
          <w:szCs w:val="20"/>
        </w:rPr>
        <w:t>Office of Equity and Diversity (OED)/Title IX compliance – (213) 740-5086</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sz w:val="20"/>
          <w:szCs w:val="20"/>
        </w:rPr>
        <w:t>Works with faculty, staff, visitors, applicants, and students around issues of protected class.</w:t>
      </w:r>
      <w:hyperlink r:id="rId16" w:history="1">
        <w:r w:rsidRPr="00C927AF">
          <w:rPr>
            <w:rFonts w:ascii="Arial" w:eastAsia="Times New Roman" w:hAnsi="Arial" w:cs="Arial"/>
            <w:color w:val="0000FF"/>
            <w:sz w:val="20"/>
            <w:szCs w:val="20"/>
            <w:u w:val="single"/>
          </w:rPr>
          <w:t xml:space="preserve"> https://equity.usc.edu/</w:t>
        </w:r>
      </w:hyperlink>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b/>
          <w:bCs/>
          <w:sz w:val="20"/>
          <w:szCs w:val="20"/>
        </w:rPr>
        <w:t> </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i/>
          <w:iCs/>
          <w:sz w:val="20"/>
          <w:szCs w:val="20"/>
        </w:rPr>
        <w:t>Bias Assessment Response and Support</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sz w:val="20"/>
          <w:szCs w:val="20"/>
        </w:rPr>
        <w:t>Incidents of bias, hate crimes and microaggressions need to be reported allowing for appropriate investigation and response.</w:t>
      </w:r>
      <w:hyperlink r:id="rId17" w:history="1">
        <w:r w:rsidRPr="00C927AF">
          <w:rPr>
            <w:rFonts w:ascii="Arial" w:eastAsia="Times New Roman" w:hAnsi="Arial" w:cs="Arial"/>
            <w:color w:val="0000FF"/>
            <w:sz w:val="20"/>
            <w:szCs w:val="20"/>
            <w:u w:val="single"/>
          </w:rPr>
          <w:t xml:space="preserve"> https://studentaffairs.usc.edu/bias-assessment-response-support/</w:t>
        </w:r>
      </w:hyperlink>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b/>
          <w:bCs/>
          <w:sz w:val="20"/>
          <w:szCs w:val="20"/>
        </w:rPr>
        <w:t> </w:t>
      </w:r>
    </w:p>
    <w:p w:rsidR="00C927AF" w:rsidRPr="00C927AF" w:rsidRDefault="00C927AF" w:rsidP="00C927AF">
      <w:pPr>
        <w:spacing w:after="0" w:line="240" w:lineRule="auto"/>
        <w:rPr>
          <w:rFonts w:ascii="Arial" w:eastAsia="Times New Roman" w:hAnsi="Arial" w:cs="Arial"/>
          <w:i/>
          <w:iCs/>
          <w:sz w:val="20"/>
          <w:szCs w:val="20"/>
        </w:rPr>
      </w:pP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i/>
          <w:iCs/>
          <w:sz w:val="20"/>
          <w:szCs w:val="20"/>
        </w:rPr>
        <w:t>Student Support &amp; Advocacy – (213) 821-4710</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sz w:val="20"/>
          <w:szCs w:val="20"/>
        </w:rPr>
        <w:t>Assists students and families in resolving complex issues adversely affecting their success as a student EX: personal, financial, and academic.</w:t>
      </w:r>
      <w:hyperlink r:id="rId18" w:history="1">
        <w:r w:rsidRPr="00C927AF">
          <w:rPr>
            <w:rFonts w:ascii="Arial" w:eastAsia="Times New Roman" w:hAnsi="Arial" w:cs="Arial"/>
            <w:color w:val="0000FF"/>
            <w:sz w:val="20"/>
            <w:szCs w:val="20"/>
            <w:u w:val="single"/>
          </w:rPr>
          <w:t xml:space="preserve"> https://studentaffairs.usc.edu/ssa/</w:t>
        </w:r>
      </w:hyperlink>
    </w:p>
    <w:p w:rsidR="00C927AF" w:rsidRPr="00C927AF" w:rsidRDefault="00C927AF" w:rsidP="00C927AF">
      <w:pPr>
        <w:spacing w:after="0" w:line="240" w:lineRule="auto"/>
        <w:ind w:left="720"/>
        <w:rPr>
          <w:rFonts w:ascii="Arial" w:eastAsia="Times New Roman" w:hAnsi="Arial" w:cs="Arial"/>
          <w:sz w:val="20"/>
          <w:szCs w:val="20"/>
        </w:rPr>
      </w:pPr>
      <w:r w:rsidRPr="00C927AF">
        <w:rPr>
          <w:rFonts w:ascii="Arial" w:eastAsia="Times New Roman" w:hAnsi="Arial" w:cs="Arial"/>
          <w:sz w:val="20"/>
          <w:szCs w:val="20"/>
        </w:rPr>
        <w:t> </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i/>
          <w:iCs/>
          <w:sz w:val="20"/>
          <w:szCs w:val="20"/>
        </w:rPr>
        <w:t xml:space="preserve">Diversity at USC – </w:t>
      </w:r>
      <w:hyperlink r:id="rId19" w:history="1">
        <w:r w:rsidRPr="00C927AF">
          <w:rPr>
            <w:rFonts w:ascii="Arial" w:eastAsia="Times New Roman" w:hAnsi="Arial" w:cs="Arial"/>
            <w:i/>
            <w:iCs/>
            <w:color w:val="0000FF"/>
            <w:sz w:val="20"/>
            <w:szCs w:val="20"/>
            <w:u w:val="single"/>
          </w:rPr>
          <w:t>https://diversity.usc.edu/</w:t>
        </w:r>
      </w:hyperlink>
      <w:r w:rsidRPr="00C927AF">
        <w:rPr>
          <w:rFonts w:ascii="Arial" w:eastAsia="Times New Roman" w:hAnsi="Arial" w:cs="Arial"/>
          <w:i/>
          <w:iCs/>
          <w:sz w:val="20"/>
          <w:szCs w:val="20"/>
        </w:rPr>
        <w:t xml:space="preserve"> </w:t>
      </w:r>
    </w:p>
    <w:p w:rsidR="00C927AF" w:rsidRPr="00C927AF" w:rsidRDefault="00C927AF" w:rsidP="00C927AF">
      <w:pPr>
        <w:spacing w:after="0" w:line="240" w:lineRule="auto"/>
        <w:rPr>
          <w:rFonts w:ascii="Arial" w:eastAsia="Times New Roman" w:hAnsi="Arial" w:cs="Arial"/>
          <w:sz w:val="20"/>
          <w:szCs w:val="20"/>
        </w:rPr>
      </w:pPr>
      <w:r w:rsidRPr="00C927AF">
        <w:rPr>
          <w:rFonts w:ascii="Arial" w:eastAsia="Times New Roman" w:hAnsi="Arial" w:cs="Arial"/>
          <w:sz w:val="20"/>
          <w:szCs w:val="20"/>
        </w:rPr>
        <w:t>Tabs for Events, Programs and Training, Task Force (including representatives for each school), Chronology, Participate, Resources for Students</w:t>
      </w:r>
    </w:p>
    <w:p w:rsidR="001E42AC" w:rsidRPr="00FB0445" w:rsidRDefault="001E42AC" w:rsidP="001E42AC">
      <w:pPr>
        <w:pStyle w:val="BodyText"/>
      </w:pPr>
      <w:bookmarkStart w:id="0" w:name="_GoBack"/>
      <w:bookmarkEnd w:id="0"/>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Papers are due on the day and time specified.  Extensions will be granted only for extenuating circumstances.  If the paper is late without permission, the grade will be affected.</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42AC" w:rsidRPr="003D3E97" w:rsidRDefault="001E42AC" w:rsidP="001E42AC">
      <w:pPr>
        <w:pStyle w:val="Heading1"/>
        <w:ind w:left="360"/>
        <w:rPr>
          <w:color w:val="800000"/>
        </w:rPr>
      </w:pPr>
      <w:r w:rsidRPr="001E469F">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w:t>
      </w:r>
      <w:r w:rsidR="007D4F0F">
        <w:t>he instructor, contact the lead instructor</w:t>
      </w:r>
      <w:r w:rsidRPr="00D20FB5">
        <w:t xml:space="preserve"> of the</w:t>
      </w:r>
      <w:r>
        <w:t xml:space="preserve"> </w:t>
      </w:r>
      <w:r w:rsidR="007D4F0F">
        <w:t xml:space="preserve">VAC </w:t>
      </w:r>
      <w:r>
        <w:t>536</w:t>
      </w:r>
      <w:r w:rsidR="00E52DF0">
        <w:t xml:space="preserve"> course</w:t>
      </w:r>
      <w:r>
        <w:t xml:space="preserve">, </w:t>
      </w:r>
      <w:r w:rsidR="007D4F0F">
        <w:t>Professor Stacy Kratz</w:t>
      </w:r>
      <w:r>
        <w:t xml:space="preserve"> at </w:t>
      </w:r>
      <w:hyperlink r:id="rId20" w:history="1">
        <w:r w:rsidR="007D4F0F" w:rsidRPr="00157F87">
          <w:rPr>
            <w:rStyle w:val="Hyperlink"/>
          </w:rPr>
          <w:t>skratz@usc.edu</w:t>
        </w:r>
      </w:hyperlink>
      <w:r>
        <w:t xml:space="preserve">. </w:t>
      </w:r>
      <w:r w:rsidRPr="00D20FB5">
        <w:t xml:space="preserve"> If you do not receive a satisfactory response or solution, contact your advisor and/or </w:t>
      </w:r>
      <w:r w:rsidR="00B11C5C">
        <w:t>MSW Director Dr</w:t>
      </w:r>
      <w:r w:rsidR="007D4F0F">
        <w:t>.</w:t>
      </w:r>
      <w:r w:rsidR="00B11C5C">
        <w:t xml:space="preserve"> Leslie Wind </w:t>
      </w:r>
      <w:r w:rsidR="00682CC8">
        <w:t xml:space="preserve">at </w:t>
      </w:r>
      <w:hyperlink r:id="rId21" w:history="1">
        <w:r w:rsidR="007D4F0F" w:rsidRPr="00157F87">
          <w:rPr>
            <w:rStyle w:val="Hyperlink"/>
          </w:rPr>
          <w:t>wind@usc.edu</w:t>
        </w:r>
      </w:hyperlink>
      <w:r w:rsidR="007D4F0F">
        <w:t xml:space="preserve"> </w:t>
      </w:r>
      <w:r w:rsidR="00682CC8">
        <w:t xml:space="preserve"> </w:t>
      </w:r>
      <w:r w:rsidR="00682CC8" w:rsidRPr="00D20FB5">
        <w:t>for</w:t>
      </w:r>
      <w:r w:rsidRPr="00D20FB5">
        <w:t xml:space="preserve">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1A" w:rsidRDefault="0056151A" w:rsidP="00D32962">
      <w:pPr>
        <w:spacing w:after="0" w:line="240" w:lineRule="auto"/>
      </w:pPr>
      <w:r>
        <w:separator/>
      </w:r>
    </w:p>
  </w:endnote>
  <w:endnote w:type="continuationSeparator" w:id="0">
    <w:p w:rsidR="0056151A" w:rsidRDefault="0056151A"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10914"/>
      <w:docPartObj>
        <w:docPartGallery w:val="Page Numbers (Bottom of Page)"/>
        <w:docPartUnique/>
      </w:docPartObj>
    </w:sdtPr>
    <w:sdtEndPr/>
    <w:sdtContent>
      <w:p w:rsidR="00485074" w:rsidRDefault="00485074">
        <w:pPr>
          <w:pStyle w:val="Footer"/>
          <w:jc w:val="right"/>
        </w:pPr>
        <w:r>
          <w:fldChar w:fldCharType="begin"/>
        </w:r>
        <w:r>
          <w:instrText xml:space="preserve"> PAGE   \* MERGEFORMAT </w:instrText>
        </w:r>
        <w:r>
          <w:fldChar w:fldCharType="separate"/>
        </w:r>
        <w:r w:rsidR="0056151A">
          <w:rPr>
            <w:noProof/>
          </w:rPr>
          <w:t>1</w:t>
        </w:r>
        <w:r>
          <w:rPr>
            <w:noProof/>
          </w:rPr>
          <w:fldChar w:fldCharType="end"/>
        </w:r>
      </w:p>
    </w:sdtContent>
  </w:sdt>
  <w:p w:rsidR="00485074" w:rsidRDefault="0048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1A" w:rsidRDefault="0056151A" w:rsidP="00D32962">
      <w:pPr>
        <w:spacing w:after="0" w:line="240" w:lineRule="auto"/>
      </w:pPr>
      <w:r>
        <w:separator/>
      </w:r>
    </w:p>
  </w:footnote>
  <w:footnote w:type="continuationSeparator" w:id="0">
    <w:p w:rsidR="0056151A" w:rsidRDefault="0056151A" w:rsidP="00D3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25pt;height:11.25pt" o:bullet="t">
        <v:imagedata r:id="rId1" o:title="MCBD21398_0000[1]"/>
      </v:shape>
    </w:pict>
  </w:numPicBullet>
  <w:numPicBullet w:numPicBulletId="1">
    <w:pict>
      <v:shape id="_x0000_i1146" type="#_x0000_t75" style="width:13.5pt;height:13.5pt" o:bullet="t">
        <v:imagedata r:id="rId2" o:title="MCBD21329_0000[1]"/>
      </v:shape>
    </w:pict>
  </w:numPicBullet>
  <w:numPicBullet w:numPicBulletId="2">
    <w:pict>
      <v:shape id="_x0000_i1147"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A"/>
    <w:rsid w:val="000049A6"/>
    <w:rsid w:val="00024398"/>
    <w:rsid w:val="00033AC7"/>
    <w:rsid w:val="000400A4"/>
    <w:rsid w:val="00045597"/>
    <w:rsid w:val="00052768"/>
    <w:rsid w:val="00054189"/>
    <w:rsid w:val="000725E8"/>
    <w:rsid w:val="00080BE7"/>
    <w:rsid w:val="000826CC"/>
    <w:rsid w:val="00086BD9"/>
    <w:rsid w:val="00087F5D"/>
    <w:rsid w:val="0009036D"/>
    <w:rsid w:val="0009597F"/>
    <w:rsid w:val="000A1AC2"/>
    <w:rsid w:val="000A3A98"/>
    <w:rsid w:val="000B7C1E"/>
    <w:rsid w:val="000C349B"/>
    <w:rsid w:val="000D2546"/>
    <w:rsid w:val="000D31A2"/>
    <w:rsid w:val="000D616F"/>
    <w:rsid w:val="000D76C1"/>
    <w:rsid w:val="000D7E97"/>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12684"/>
    <w:rsid w:val="00213114"/>
    <w:rsid w:val="00216321"/>
    <w:rsid w:val="002301BF"/>
    <w:rsid w:val="00250E3D"/>
    <w:rsid w:val="0025462B"/>
    <w:rsid w:val="002574F8"/>
    <w:rsid w:val="00265CB8"/>
    <w:rsid w:val="00270302"/>
    <w:rsid w:val="0027182F"/>
    <w:rsid w:val="002833D9"/>
    <w:rsid w:val="0028625E"/>
    <w:rsid w:val="0029639C"/>
    <w:rsid w:val="002A12EB"/>
    <w:rsid w:val="002A1EE5"/>
    <w:rsid w:val="002B3750"/>
    <w:rsid w:val="002B7CF7"/>
    <w:rsid w:val="002E096E"/>
    <w:rsid w:val="002E0CAE"/>
    <w:rsid w:val="002E2B2F"/>
    <w:rsid w:val="002E4602"/>
    <w:rsid w:val="002E4DE6"/>
    <w:rsid w:val="002F0F4B"/>
    <w:rsid w:val="002F1D37"/>
    <w:rsid w:val="002F3830"/>
    <w:rsid w:val="002F656D"/>
    <w:rsid w:val="00302A07"/>
    <w:rsid w:val="00303124"/>
    <w:rsid w:val="00304215"/>
    <w:rsid w:val="003138E2"/>
    <w:rsid w:val="0032298E"/>
    <w:rsid w:val="00336BFB"/>
    <w:rsid w:val="00344E2C"/>
    <w:rsid w:val="0035567C"/>
    <w:rsid w:val="00356292"/>
    <w:rsid w:val="0035795B"/>
    <w:rsid w:val="00361776"/>
    <w:rsid w:val="00362E9D"/>
    <w:rsid w:val="00364BA5"/>
    <w:rsid w:val="00366741"/>
    <w:rsid w:val="00384E7A"/>
    <w:rsid w:val="0038797E"/>
    <w:rsid w:val="003A26FD"/>
    <w:rsid w:val="003A33CC"/>
    <w:rsid w:val="003A524B"/>
    <w:rsid w:val="003B2521"/>
    <w:rsid w:val="003E04CE"/>
    <w:rsid w:val="003F4035"/>
    <w:rsid w:val="003F78DD"/>
    <w:rsid w:val="00404CB5"/>
    <w:rsid w:val="00407D42"/>
    <w:rsid w:val="00434C1F"/>
    <w:rsid w:val="00443E60"/>
    <w:rsid w:val="00446D1B"/>
    <w:rsid w:val="004536CE"/>
    <w:rsid w:val="004550FE"/>
    <w:rsid w:val="00460784"/>
    <w:rsid w:val="004657A8"/>
    <w:rsid w:val="00485074"/>
    <w:rsid w:val="004850E4"/>
    <w:rsid w:val="0048585E"/>
    <w:rsid w:val="004A2C1C"/>
    <w:rsid w:val="004A6418"/>
    <w:rsid w:val="004D4FCF"/>
    <w:rsid w:val="004E1BC2"/>
    <w:rsid w:val="004F04C2"/>
    <w:rsid w:val="004F0FC8"/>
    <w:rsid w:val="00505D48"/>
    <w:rsid w:val="00506900"/>
    <w:rsid w:val="00512C78"/>
    <w:rsid w:val="0052637F"/>
    <w:rsid w:val="00526D93"/>
    <w:rsid w:val="0053311D"/>
    <w:rsid w:val="0053562A"/>
    <w:rsid w:val="0056151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5C76"/>
    <w:rsid w:val="006473A5"/>
    <w:rsid w:val="006538EC"/>
    <w:rsid w:val="006608C8"/>
    <w:rsid w:val="00664D66"/>
    <w:rsid w:val="00665D4E"/>
    <w:rsid w:val="00666CD1"/>
    <w:rsid w:val="00682CC8"/>
    <w:rsid w:val="00683D8A"/>
    <w:rsid w:val="00696986"/>
    <w:rsid w:val="006A0757"/>
    <w:rsid w:val="006A2FF7"/>
    <w:rsid w:val="006A339E"/>
    <w:rsid w:val="006A5D46"/>
    <w:rsid w:val="006B67EC"/>
    <w:rsid w:val="006B7448"/>
    <w:rsid w:val="006D49DD"/>
    <w:rsid w:val="006D786C"/>
    <w:rsid w:val="006E0259"/>
    <w:rsid w:val="006E08D7"/>
    <w:rsid w:val="006E2D6C"/>
    <w:rsid w:val="006F25E8"/>
    <w:rsid w:val="00711199"/>
    <w:rsid w:val="00714B58"/>
    <w:rsid w:val="0072609B"/>
    <w:rsid w:val="0073007E"/>
    <w:rsid w:val="00736D4A"/>
    <w:rsid w:val="00743222"/>
    <w:rsid w:val="00745496"/>
    <w:rsid w:val="00745CEB"/>
    <w:rsid w:val="007508EC"/>
    <w:rsid w:val="00751850"/>
    <w:rsid w:val="007904DF"/>
    <w:rsid w:val="00791165"/>
    <w:rsid w:val="007912CB"/>
    <w:rsid w:val="00792A6F"/>
    <w:rsid w:val="0079577D"/>
    <w:rsid w:val="00795A61"/>
    <w:rsid w:val="00796F40"/>
    <w:rsid w:val="007A4C93"/>
    <w:rsid w:val="007A4F34"/>
    <w:rsid w:val="007D4F0F"/>
    <w:rsid w:val="007E33CA"/>
    <w:rsid w:val="007E7872"/>
    <w:rsid w:val="007F5EF4"/>
    <w:rsid w:val="00803E04"/>
    <w:rsid w:val="00804D03"/>
    <w:rsid w:val="008077D1"/>
    <w:rsid w:val="00817E71"/>
    <w:rsid w:val="00820C03"/>
    <w:rsid w:val="00833176"/>
    <w:rsid w:val="00845FA9"/>
    <w:rsid w:val="008516E9"/>
    <w:rsid w:val="008579EE"/>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4826"/>
    <w:rsid w:val="00917D52"/>
    <w:rsid w:val="0092333A"/>
    <w:rsid w:val="00926B16"/>
    <w:rsid w:val="00927E6F"/>
    <w:rsid w:val="0093638D"/>
    <w:rsid w:val="00944FDD"/>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F5139"/>
    <w:rsid w:val="009F591A"/>
    <w:rsid w:val="00A00AE2"/>
    <w:rsid w:val="00A01AF3"/>
    <w:rsid w:val="00A06095"/>
    <w:rsid w:val="00A116A1"/>
    <w:rsid w:val="00A13D66"/>
    <w:rsid w:val="00A16C0D"/>
    <w:rsid w:val="00A16E38"/>
    <w:rsid w:val="00A25B45"/>
    <w:rsid w:val="00A33ABA"/>
    <w:rsid w:val="00A37802"/>
    <w:rsid w:val="00A455BD"/>
    <w:rsid w:val="00A47F3F"/>
    <w:rsid w:val="00A57CBA"/>
    <w:rsid w:val="00A639C6"/>
    <w:rsid w:val="00A66648"/>
    <w:rsid w:val="00A87E07"/>
    <w:rsid w:val="00A91627"/>
    <w:rsid w:val="00A968C6"/>
    <w:rsid w:val="00AA0A20"/>
    <w:rsid w:val="00AC0737"/>
    <w:rsid w:val="00AC33E9"/>
    <w:rsid w:val="00AF006B"/>
    <w:rsid w:val="00B026C4"/>
    <w:rsid w:val="00B1137D"/>
    <w:rsid w:val="00B11C5C"/>
    <w:rsid w:val="00B17F4F"/>
    <w:rsid w:val="00B509CE"/>
    <w:rsid w:val="00B525A1"/>
    <w:rsid w:val="00B549EF"/>
    <w:rsid w:val="00B54B95"/>
    <w:rsid w:val="00B60E93"/>
    <w:rsid w:val="00B71457"/>
    <w:rsid w:val="00B726F9"/>
    <w:rsid w:val="00B84F2B"/>
    <w:rsid w:val="00B931E7"/>
    <w:rsid w:val="00BA05B3"/>
    <w:rsid w:val="00BA7C8E"/>
    <w:rsid w:val="00BB0D9F"/>
    <w:rsid w:val="00BB484A"/>
    <w:rsid w:val="00BC72B3"/>
    <w:rsid w:val="00BD1189"/>
    <w:rsid w:val="00BD1682"/>
    <w:rsid w:val="00BE01D8"/>
    <w:rsid w:val="00BF0512"/>
    <w:rsid w:val="00C163C8"/>
    <w:rsid w:val="00C26E43"/>
    <w:rsid w:val="00C3566D"/>
    <w:rsid w:val="00C35B39"/>
    <w:rsid w:val="00C3752F"/>
    <w:rsid w:val="00C43882"/>
    <w:rsid w:val="00C44FB9"/>
    <w:rsid w:val="00C53EDE"/>
    <w:rsid w:val="00C54293"/>
    <w:rsid w:val="00C54828"/>
    <w:rsid w:val="00C54D13"/>
    <w:rsid w:val="00C57D6B"/>
    <w:rsid w:val="00C73B16"/>
    <w:rsid w:val="00C7473A"/>
    <w:rsid w:val="00C765EF"/>
    <w:rsid w:val="00C85539"/>
    <w:rsid w:val="00C87439"/>
    <w:rsid w:val="00C900D7"/>
    <w:rsid w:val="00C927AF"/>
    <w:rsid w:val="00C969ED"/>
    <w:rsid w:val="00CA6A8C"/>
    <w:rsid w:val="00CA7F31"/>
    <w:rsid w:val="00CE1F94"/>
    <w:rsid w:val="00CE5BEA"/>
    <w:rsid w:val="00CF34C4"/>
    <w:rsid w:val="00D03412"/>
    <w:rsid w:val="00D07CED"/>
    <w:rsid w:val="00D101C2"/>
    <w:rsid w:val="00D17638"/>
    <w:rsid w:val="00D21765"/>
    <w:rsid w:val="00D222C7"/>
    <w:rsid w:val="00D24CBA"/>
    <w:rsid w:val="00D32962"/>
    <w:rsid w:val="00D3618A"/>
    <w:rsid w:val="00D36FEF"/>
    <w:rsid w:val="00D45EB0"/>
    <w:rsid w:val="00D47AD4"/>
    <w:rsid w:val="00D5650F"/>
    <w:rsid w:val="00D572D8"/>
    <w:rsid w:val="00D634D3"/>
    <w:rsid w:val="00D731D2"/>
    <w:rsid w:val="00D74D86"/>
    <w:rsid w:val="00D76C6F"/>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52DF0"/>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11842"/>
    <w:rsid w:val="00F16D4F"/>
    <w:rsid w:val="00F30044"/>
    <w:rsid w:val="00F4418D"/>
    <w:rsid w:val="00F819BE"/>
    <w:rsid w:val="00F9353D"/>
    <w:rsid w:val="00F96AAB"/>
    <w:rsid w:val="00FA2540"/>
    <w:rsid w:val="00FA5838"/>
    <w:rsid w:val="00FD1B39"/>
    <w:rsid w:val="00FD4CBB"/>
    <w:rsid w:val="00FD6F84"/>
    <w:rsid w:val="00FD7B84"/>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8"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mailto:wind@usc.edu" TargetMode="External"/><Relationship Id="rId7" Type="http://schemas.openxmlformats.org/officeDocument/2006/relationships/footnotes" Target="footnotes.xml"/><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s://equity.usc.edu/" TargetMode="External"/><Relationship Id="rId20" Type="http://schemas.openxmlformats.org/officeDocument/2006/relationships/hyperlink" Target="mailto:skratz@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sc.edu/scientific-misconduc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c.usc.edu/" TargetMode="External"/><Relationship Id="rId23" Type="http://schemas.openxmlformats.org/officeDocument/2006/relationships/fontTable" Target="fontTable.xml"/><Relationship Id="rId10" Type="http://schemas.openxmlformats.org/officeDocument/2006/relationships/hyperlink" Target="https://policy.usc.edu/scampus-part-b/" TargetMode="External"/><Relationship Id="rId19" Type="http://schemas.openxmlformats.org/officeDocument/2006/relationships/hyperlink" Target="https://diversity.usc.edu/"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s://engemannshc.usc.edu/rsvp/"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7A947-7305-46F3-ABEF-493F6967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8068</Words>
  <Characters>45994</Characters>
  <Application>Microsoft Office Word</Application>
  <DocSecurity>0</DocSecurity>
  <Lines>383</Lines>
  <Paragraphs>107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Course Prerequisites</vt:lpstr>
      <vt:lpstr>Catalogue description</vt:lpstr>
      <vt:lpstr>Course Description</vt:lpstr>
      <vt:lpstr/>
      <vt:lpstr>Course Objectives</vt:lpstr>
      <vt:lpstr>Course Format / Instructional Methods</vt:lpstr>
      <vt:lpstr>Student Learning Outcomes</vt:lpstr>
      <vt:lpstr>Course assignments, due dates and grading</vt:lpstr>
      <vt:lpstr>VIII.	required and supplementary instructional materials and resources</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vt:lpstr>
      <vt:lpstr/>
    </vt:vector>
  </TitlesOfParts>
  <Company>USC SSW</Company>
  <LinksUpToDate>false</LinksUpToDate>
  <CharactersWithSpaces>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mistrano</dc:creator>
  <cp:lastModifiedBy>Jane</cp:lastModifiedBy>
  <cp:revision>4</cp:revision>
  <cp:lastPrinted>2015-11-06T19:26:00Z</cp:lastPrinted>
  <dcterms:created xsi:type="dcterms:W3CDTF">2017-05-04T22:22:00Z</dcterms:created>
  <dcterms:modified xsi:type="dcterms:W3CDTF">2017-05-19T01:46:00Z</dcterms:modified>
</cp:coreProperties>
</file>