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72A" w:rsidRDefault="0070372A" w:rsidP="0070372A">
      <w:pPr>
        <w:autoSpaceDE w:val="0"/>
        <w:autoSpaceDN w:val="0"/>
        <w:adjustRightInd w:val="0"/>
        <w:spacing w:after="0" w:line="240" w:lineRule="auto"/>
        <w:rPr>
          <w:rFonts w:ascii="Gill Sans MT" w:hAnsi="Gill Sans MT"/>
        </w:rPr>
      </w:pPr>
    </w:p>
    <w:p w:rsidR="0070372A" w:rsidRDefault="0070372A" w:rsidP="0070372A">
      <w:pPr>
        <w:spacing w:after="0" w:line="240" w:lineRule="auto"/>
        <w:jc w:val="center"/>
        <w:rPr>
          <w:rFonts w:ascii="Gill Sans MT" w:hAnsi="Gill Sans MT"/>
        </w:rPr>
      </w:pPr>
      <w:r>
        <w:rPr>
          <w:rFonts w:ascii="Gill Sans MT" w:hAnsi="Gill Sans MT"/>
        </w:rPr>
        <w:t xml:space="preserve">  </w:t>
      </w:r>
    </w:p>
    <w:p w:rsidR="0070372A" w:rsidRPr="0070372A" w:rsidRDefault="0070372A" w:rsidP="0070372A">
      <w:pPr>
        <w:spacing w:after="0" w:line="240" w:lineRule="auto"/>
        <w:jc w:val="center"/>
        <w:rPr>
          <w:sz w:val="24"/>
          <w:szCs w:val="24"/>
        </w:rPr>
      </w:pPr>
      <w:r w:rsidRPr="0070372A">
        <w:rPr>
          <w:sz w:val="24"/>
          <w:szCs w:val="24"/>
        </w:rPr>
        <w:t>Law 851: Criminal Law at the Margins</w:t>
      </w:r>
    </w:p>
    <w:p w:rsidR="0070372A" w:rsidRPr="0070372A" w:rsidRDefault="0070372A" w:rsidP="0070372A">
      <w:pPr>
        <w:spacing w:after="0" w:line="240" w:lineRule="auto"/>
        <w:jc w:val="center"/>
        <w:rPr>
          <w:sz w:val="24"/>
          <w:szCs w:val="24"/>
        </w:rPr>
      </w:pPr>
      <w:r w:rsidRPr="0070372A">
        <w:rPr>
          <w:sz w:val="24"/>
          <w:szCs w:val="24"/>
        </w:rPr>
        <w:t>Spring, 2016</w:t>
      </w:r>
    </w:p>
    <w:p w:rsidR="0070372A" w:rsidRPr="0070372A" w:rsidRDefault="0070372A" w:rsidP="0070372A">
      <w:pPr>
        <w:spacing w:after="0" w:line="240" w:lineRule="auto"/>
        <w:rPr>
          <w:sz w:val="24"/>
          <w:szCs w:val="24"/>
        </w:rPr>
      </w:pPr>
    </w:p>
    <w:p w:rsidR="0070372A" w:rsidRPr="0070372A" w:rsidRDefault="0070372A" w:rsidP="0070372A">
      <w:pPr>
        <w:spacing w:after="0" w:line="240" w:lineRule="auto"/>
        <w:rPr>
          <w:sz w:val="24"/>
          <w:szCs w:val="24"/>
        </w:rPr>
      </w:pPr>
      <w:r w:rsidRPr="0070372A">
        <w:rPr>
          <w:sz w:val="24"/>
          <w:szCs w:val="24"/>
        </w:rPr>
        <w:t>Instructor: Gary Watson</w:t>
      </w:r>
    </w:p>
    <w:p w:rsidR="0070372A" w:rsidRPr="0070372A" w:rsidRDefault="0070372A" w:rsidP="0070372A">
      <w:pPr>
        <w:spacing w:after="0" w:line="240" w:lineRule="auto"/>
        <w:rPr>
          <w:sz w:val="24"/>
          <w:szCs w:val="24"/>
        </w:rPr>
      </w:pPr>
      <w:r w:rsidRPr="0070372A">
        <w:rPr>
          <w:sz w:val="24"/>
          <w:szCs w:val="24"/>
        </w:rPr>
        <w:t>Office: Law 308</w:t>
      </w:r>
    </w:p>
    <w:p w:rsidR="0070372A" w:rsidRPr="0070372A" w:rsidRDefault="0070372A" w:rsidP="0070372A">
      <w:pPr>
        <w:spacing w:after="0" w:line="240" w:lineRule="auto"/>
        <w:rPr>
          <w:sz w:val="24"/>
          <w:szCs w:val="24"/>
        </w:rPr>
      </w:pPr>
      <w:r w:rsidRPr="0070372A">
        <w:rPr>
          <w:sz w:val="24"/>
          <w:szCs w:val="24"/>
        </w:rPr>
        <w:t xml:space="preserve">Office hours: </w:t>
      </w:r>
      <w:r w:rsidRPr="0070372A">
        <w:rPr>
          <w:rFonts w:eastAsia="Calibri" w:cs="Times New Roman"/>
          <w:bCs/>
          <w:sz w:val="24"/>
          <w:szCs w:val="24"/>
        </w:rPr>
        <w:t>Tues: 11:15-12:45; Fri: 11:30-1</w:t>
      </w:r>
    </w:p>
    <w:p w:rsidR="0070372A" w:rsidRPr="0070372A" w:rsidRDefault="0070372A" w:rsidP="0070372A">
      <w:pPr>
        <w:spacing w:after="0" w:line="240" w:lineRule="auto"/>
        <w:rPr>
          <w:sz w:val="24"/>
          <w:szCs w:val="24"/>
        </w:rPr>
      </w:pPr>
    </w:p>
    <w:p w:rsidR="0070372A" w:rsidRPr="0070372A" w:rsidRDefault="0070372A" w:rsidP="0070372A">
      <w:pPr>
        <w:rPr>
          <w:sz w:val="24"/>
          <w:szCs w:val="24"/>
        </w:rPr>
      </w:pPr>
      <w:r w:rsidRPr="0070372A">
        <w:rPr>
          <w:sz w:val="24"/>
          <w:szCs w:val="24"/>
        </w:rPr>
        <w:t xml:space="preserve">Criminal law purports to be about a certain kind of injustice or wrongdoing, namely crime. Its distinctive response to that wrongdoing is public prosecution (trial) and punishment. In contrast, tort offenses (for example) trigger calls for compensation or for injunctions of restraint. It is widely thought that criminal wrongs warrant punishment because they involve culpability. This raises the questions of what culpability is and, equally importantly, why the political community should concern itself to keep track of it by means of the institutions of criminal law. Should law be in the business of ‘retribution’, or should we prefer some alternative systems of social control and conflict resolution? </w:t>
      </w:r>
    </w:p>
    <w:p w:rsidR="0070372A" w:rsidRPr="0070372A" w:rsidRDefault="0070372A" w:rsidP="0070372A">
      <w:pPr>
        <w:rPr>
          <w:sz w:val="24"/>
          <w:szCs w:val="24"/>
        </w:rPr>
      </w:pPr>
      <w:r w:rsidRPr="0070372A">
        <w:rPr>
          <w:sz w:val="24"/>
          <w:szCs w:val="24"/>
        </w:rPr>
        <w:t>This course will begin with a review and discussion of some standard philosophical and jurisprudential accounts of crime, culpability and punishment and then examine some areas in which the law has conspicuously struggled in its attempts to do criminal justice. These include the response to actors who are in dire straits or at the margins of moral competence:, sufferers of duress and situational stress</w:t>
      </w:r>
      <w:r w:rsidR="00FF4BD1">
        <w:rPr>
          <w:sz w:val="24"/>
          <w:szCs w:val="24"/>
        </w:rPr>
        <w:t xml:space="preserve">, and age-related </w:t>
      </w:r>
      <w:r w:rsidR="00FF4BD1" w:rsidRPr="0070372A">
        <w:rPr>
          <w:sz w:val="24"/>
          <w:szCs w:val="24"/>
        </w:rPr>
        <w:t xml:space="preserve"> immaturity</w:t>
      </w:r>
      <w:r w:rsidR="00FF4BD1">
        <w:rPr>
          <w:sz w:val="24"/>
          <w:szCs w:val="24"/>
        </w:rPr>
        <w:t xml:space="preserve"> (that is, youth!)</w:t>
      </w:r>
      <w:r w:rsidRPr="0070372A">
        <w:rPr>
          <w:sz w:val="24"/>
          <w:szCs w:val="24"/>
        </w:rPr>
        <w:t>. We then turn to issues raised by a different kind of agent, who is marginalized by class and/or racial injustice. Can the criminal law do justice in contexts of severe economic inequalities and racial and other discrimination? Here we look at</w:t>
      </w:r>
      <w:r w:rsidR="00FF4BD1">
        <w:rPr>
          <w:sz w:val="24"/>
          <w:szCs w:val="24"/>
        </w:rPr>
        <w:t xml:space="preserve"> </w:t>
      </w:r>
      <w:r w:rsidR="00FF4BD1" w:rsidRPr="0070372A">
        <w:rPr>
          <w:sz w:val="24"/>
          <w:szCs w:val="24"/>
        </w:rPr>
        <w:t>analyses of the American criminal justice system as deeply corrupt</w:t>
      </w:r>
      <w:r w:rsidR="00FF4BD1">
        <w:rPr>
          <w:sz w:val="24"/>
          <w:szCs w:val="24"/>
        </w:rPr>
        <w:t xml:space="preserve">ed and compromised by racial and economic inequality. And we consider proposals </w:t>
      </w:r>
      <w:r w:rsidRPr="0070372A">
        <w:rPr>
          <w:sz w:val="24"/>
          <w:szCs w:val="24"/>
        </w:rPr>
        <w:t xml:space="preserve"> to take poverty and hardship into account as defenses or </w:t>
      </w:r>
      <w:r w:rsidR="00FF4BD1">
        <w:rPr>
          <w:sz w:val="24"/>
          <w:szCs w:val="24"/>
        </w:rPr>
        <w:t xml:space="preserve">as </w:t>
      </w:r>
      <w:r w:rsidRPr="0070372A">
        <w:rPr>
          <w:sz w:val="24"/>
          <w:szCs w:val="24"/>
        </w:rPr>
        <w:t>pleas of mitigation (such as the “rotten background defens</w:t>
      </w:r>
      <w:r w:rsidR="00FF4BD1">
        <w:rPr>
          <w:sz w:val="24"/>
          <w:szCs w:val="24"/>
        </w:rPr>
        <w:t>e”).</w:t>
      </w:r>
    </w:p>
    <w:p w:rsidR="0070372A" w:rsidRPr="0070372A" w:rsidRDefault="0070372A" w:rsidP="0070372A">
      <w:pPr>
        <w:rPr>
          <w:sz w:val="24"/>
          <w:szCs w:val="24"/>
        </w:rPr>
      </w:pPr>
      <w:r w:rsidRPr="0070372A">
        <w:rPr>
          <w:sz w:val="24"/>
          <w:szCs w:val="24"/>
          <w:u w:val="single"/>
        </w:rPr>
        <w:t>Requirements:</w:t>
      </w:r>
      <w:r w:rsidRPr="0070372A">
        <w:rPr>
          <w:sz w:val="24"/>
          <w:szCs w:val="24"/>
        </w:rPr>
        <w:t xml:space="preserve">  This course will meet once weekly, Wednesdays, 2-4:50. (1) A 15-20 page term paper </w:t>
      </w:r>
      <w:r w:rsidRPr="0070372A">
        <w:rPr>
          <w:i/>
          <w:sz w:val="24"/>
          <w:szCs w:val="24"/>
          <w:u w:val="single"/>
        </w:rPr>
        <w:t>except for those writing Journal Notes.</w:t>
      </w:r>
      <w:r w:rsidRPr="0070372A">
        <w:rPr>
          <w:sz w:val="24"/>
          <w:szCs w:val="24"/>
        </w:rPr>
        <w:t xml:space="preserve"> (See below).  By the 11th week, students should discuss their paper topics with the instructor. </w:t>
      </w:r>
      <w:r w:rsidRPr="0070372A">
        <w:rPr>
          <w:i/>
          <w:sz w:val="24"/>
          <w:szCs w:val="24"/>
          <w:u w:val="single"/>
        </w:rPr>
        <w:t>Whatever its topic, the paper must make significant use of some of the course material..</w:t>
      </w:r>
      <w:r w:rsidRPr="0070372A">
        <w:rPr>
          <w:sz w:val="24"/>
          <w:szCs w:val="24"/>
        </w:rPr>
        <w:t xml:space="preserve"> First drafts are encouraged but not required. (2) In addition, students (a) must write an approximately one-page comment critically reacting to one of the readings assigned for each seminar, beginning in the 2</w:t>
      </w:r>
      <w:r w:rsidRPr="0070372A">
        <w:rPr>
          <w:sz w:val="24"/>
          <w:szCs w:val="24"/>
          <w:vertAlign w:val="superscript"/>
        </w:rPr>
        <w:t>nd</w:t>
      </w:r>
      <w:r w:rsidRPr="0070372A">
        <w:rPr>
          <w:sz w:val="24"/>
          <w:szCs w:val="24"/>
        </w:rPr>
        <w:t xml:space="preserve"> week. (You will have two passes. Thus, you are responsible for a total of 12 weeklies.) You should be prepared to discuss your weekly reaction in the relevant seminar. Hard copies of these weeklies should be turned in to me in three installments: The first 4 comments after the 5</w:t>
      </w:r>
      <w:r w:rsidRPr="0070372A">
        <w:rPr>
          <w:sz w:val="24"/>
          <w:szCs w:val="24"/>
          <w:vertAlign w:val="superscript"/>
        </w:rPr>
        <w:t>th</w:t>
      </w:r>
      <w:r w:rsidRPr="0070372A">
        <w:rPr>
          <w:sz w:val="24"/>
          <w:szCs w:val="24"/>
        </w:rPr>
        <w:t xml:space="preserve"> seminar, the next 4 after the 10</w:t>
      </w:r>
      <w:r w:rsidRPr="0070372A">
        <w:rPr>
          <w:sz w:val="24"/>
          <w:szCs w:val="24"/>
          <w:vertAlign w:val="superscript"/>
        </w:rPr>
        <w:t>th</w:t>
      </w:r>
      <w:r w:rsidRPr="0070372A">
        <w:rPr>
          <w:sz w:val="24"/>
          <w:szCs w:val="24"/>
        </w:rPr>
        <w:t xml:space="preserve"> </w:t>
      </w:r>
      <w:r w:rsidRPr="0070372A">
        <w:rPr>
          <w:sz w:val="24"/>
          <w:szCs w:val="24"/>
        </w:rPr>
        <w:lastRenderedPageBreak/>
        <w:t xml:space="preserve">seminar, and the remainder after the final seminar. (b) Students will be asked to make a 10-15 minute presentation on one of the readings for that week. </w:t>
      </w:r>
    </w:p>
    <w:p w:rsidR="0070372A" w:rsidRPr="0070372A" w:rsidRDefault="0070372A" w:rsidP="0070372A">
      <w:pPr>
        <w:rPr>
          <w:sz w:val="24"/>
          <w:szCs w:val="24"/>
        </w:rPr>
      </w:pPr>
      <w:r w:rsidRPr="0070372A">
        <w:rPr>
          <w:sz w:val="24"/>
          <w:szCs w:val="24"/>
          <w:u w:val="single"/>
        </w:rPr>
        <w:t>Grades</w:t>
      </w:r>
      <w:r w:rsidRPr="0070372A">
        <w:rPr>
          <w:sz w:val="24"/>
          <w:szCs w:val="24"/>
        </w:rPr>
        <w:t xml:space="preserve"> The term paper will be 85% of your course grade. The remaining 15% will be for your weekly comments, and your attendance and participation. The course may be taken CR/D/F only with the permission of the instructor.</w:t>
      </w:r>
    </w:p>
    <w:p w:rsidR="0070372A" w:rsidRPr="0070372A" w:rsidRDefault="0070372A" w:rsidP="0070372A">
      <w:pPr>
        <w:rPr>
          <w:sz w:val="24"/>
          <w:szCs w:val="24"/>
        </w:rPr>
      </w:pPr>
      <w:r w:rsidRPr="0070372A">
        <w:rPr>
          <w:sz w:val="24"/>
          <w:szCs w:val="24"/>
          <w:u w:val="single"/>
        </w:rPr>
        <w:t>Readings:</w:t>
      </w:r>
      <w:r w:rsidRPr="0070372A">
        <w:rPr>
          <w:sz w:val="24"/>
          <w:szCs w:val="24"/>
        </w:rPr>
        <w:t xml:space="preserve"> Members of the seminar will read and discuss a variety of historical, philosophical and jurisprudential  material, as well as central legal cases and statutes, as they bear on the forgoing topics. Course readings will be available on the website for the course (Blackboard).</w:t>
      </w:r>
    </w:p>
    <w:p w:rsidR="0070372A" w:rsidRPr="0070372A" w:rsidRDefault="0070372A" w:rsidP="0070372A">
      <w:pPr>
        <w:rPr>
          <w:sz w:val="24"/>
          <w:szCs w:val="24"/>
        </w:rPr>
      </w:pPr>
    </w:p>
    <w:p w:rsidR="0070372A" w:rsidRPr="0070372A" w:rsidRDefault="0070372A" w:rsidP="0070372A">
      <w:pPr>
        <w:jc w:val="center"/>
        <w:rPr>
          <w:i/>
          <w:sz w:val="24"/>
          <w:szCs w:val="24"/>
        </w:rPr>
      </w:pPr>
      <w:r w:rsidRPr="0070372A">
        <w:rPr>
          <w:i/>
          <w:sz w:val="24"/>
          <w:szCs w:val="24"/>
        </w:rPr>
        <w:t>Schedule of Topics and Readings</w:t>
      </w:r>
    </w:p>
    <w:p w:rsidR="0070372A" w:rsidRPr="0070372A" w:rsidRDefault="0070372A" w:rsidP="0070372A">
      <w:pPr>
        <w:rPr>
          <w:sz w:val="24"/>
          <w:szCs w:val="24"/>
        </w:rPr>
      </w:pPr>
      <w:r w:rsidRPr="0070372A">
        <w:rPr>
          <w:sz w:val="24"/>
          <w:szCs w:val="24"/>
        </w:rPr>
        <w:t>Week 1 (Jan. 13)  Introduction</w:t>
      </w:r>
    </w:p>
    <w:p w:rsidR="0070372A" w:rsidRPr="0070372A" w:rsidRDefault="0070372A" w:rsidP="0070372A">
      <w:pPr>
        <w:ind w:firstLine="720"/>
        <w:rPr>
          <w:sz w:val="24"/>
          <w:szCs w:val="24"/>
        </w:rPr>
      </w:pPr>
      <w:r w:rsidRPr="0070372A">
        <w:rPr>
          <w:sz w:val="24"/>
          <w:szCs w:val="24"/>
        </w:rPr>
        <w:t>R. A. Duff, “Theories of Criminal Law” (PDF)</w:t>
      </w:r>
    </w:p>
    <w:p w:rsidR="0070372A" w:rsidRPr="0070372A" w:rsidRDefault="0070372A" w:rsidP="0070372A">
      <w:pPr>
        <w:rPr>
          <w:sz w:val="24"/>
          <w:szCs w:val="24"/>
        </w:rPr>
      </w:pPr>
      <w:r w:rsidRPr="0070372A">
        <w:rPr>
          <w:sz w:val="24"/>
          <w:szCs w:val="24"/>
        </w:rPr>
        <w:t>Part I Crime, Punishment, and Culpability</w:t>
      </w:r>
    </w:p>
    <w:p w:rsidR="0070372A" w:rsidRPr="0070372A" w:rsidRDefault="0070372A" w:rsidP="0070372A">
      <w:pPr>
        <w:spacing w:before="240" w:after="0"/>
        <w:rPr>
          <w:sz w:val="24"/>
          <w:szCs w:val="24"/>
        </w:rPr>
      </w:pPr>
      <w:r w:rsidRPr="0070372A">
        <w:rPr>
          <w:sz w:val="24"/>
          <w:szCs w:val="24"/>
        </w:rPr>
        <w:t>Week 2 (Jan. 20) Punishment, Deterrence and Retribution</w:t>
      </w:r>
    </w:p>
    <w:p w:rsidR="0070372A" w:rsidRPr="0070372A" w:rsidRDefault="0070372A" w:rsidP="0070372A">
      <w:pPr>
        <w:spacing w:after="0"/>
        <w:rPr>
          <w:sz w:val="24"/>
          <w:szCs w:val="24"/>
        </w:rPr>
      </w:pPr>
      <w:r w:rsidRPr="0070372A">
        <w:rPr>
          <w:sz w:val="24"/>
          <w:szCs w:val="24"/>
        </w:rPr>
        <w:t xml:space="preserve">  </w:t>
      </w:r>
    </w:p>
    <w:p w:rsidR="0070372A" w:rsidRPr="0070372A" w:rsidRDefault="0070372A" w:rsidP="0070372A">
      <w:pPr>
        <w:spacing w:after="0"/>
        <w:ind w:left="720"/>
        <w:rPr>
          <w:sz w:val="24"/>
          <w:szCs w:val="24"/>
        </w:rPr>
      </w:pPr>
      <w:r w:rsidRPr="0070372A">
        <w:rPr>
          <w:sz w:val="24"/>
          <w:szCs w:val="24"/>
        </w:rPr>
        <w:t>Hart, “Prolegomenon to a Theory of Punishment”</w:t>
      </w:r>
      <w:r w:rsidR="00A86011">
        <w:rPr>
          <w:sz w:val="24"/>
          <w:szCs w:val="24"/>
        </w:rPr>
        <w:t xml:space="preserve"> (PDF)</w:t>
      </w:r>
    </w:p>
    <w:p w:rsidR="0070372A" w:rsidRPr="0070372A" w:rsidRDefault="0070372A" w:rsidP="0070372A">
      <w:pPr>
        <w:spacing w:after="0"/>
        <w:ind w:left="720"/>
        <w:rPr>
          <w:sz w:val="24"/>
          <w:szCs w:val="24"/>
        </w:rPr>
      </w:pPr>
      <w:r w:rsidRPr="0070372A">
        <w:rPr>
          <w:sz w:val="24"/>
          <w:szCs w:val="24"/>
        </w:rPr>
        <w:t>Feinberg, “The Expressive Function of Punishment”</w:t>
      </w:r>
      <w:r w:rsidR="00A86011">
        <w:rPr>
          <w:sz w:val="24"/>
          <w:szCs w:val="24"/>
        </w:rPr>
        <w:t xml:space="preserve"> (PDF)</w:t>
      </w:r>
    </w:p>
    <w:p w:rsidR="0070372A" w:rsidRPr="0070372A" w:rsidRDefault="0070372A" w:rsidP="0070372A">
      <w:pPr>
        <w:spacing w:after="0"/>
        <w:ind w:left="720"/>
        <w:rPr>
          <w:sz w:val="24"/>
          <w:szCs w:val="24"/>
        </w:rPr>
      </w:pPr>
      <w:r w:rsidRPr="0070372A">
        <w:rPr>
          <w:sz w:val="24"/>
          <w:szCs w:val="24"/>
        </w:rPr>
        <w:t xml:space="preserve">Robinson: </w:t>
      </w:r>
      <w:r w:rsidR="00A86011">
        <w:rPr>
          <w:sz w:val="24"/>
          <w:szCs w:val="24"/>
        </w:rPr>
        <w:t>“</w:t>
      </w:r>
      <w:r w:rsidRPr="0070372A">
        <w:rPr>
          <w:sz w:val="24"/>
          <w:szCs w:val="24"/>
        </w:rPr>
        <w:t>Three conceptions of Desert</w:t>
      </w:r>
      <w:r w:rsidR="00A86011">
        <w:rPr>
          <w:sz w:val="24"/>
          <w:szCs w:val="24"/>
        </w:rPr>
        <w:t>” (PDF)</w:t>
      </w:r>
    </w:p>
    <w:p w:rsidR="0070372A" w:rsidRPr="0070372A" w:rsidRDefault="0070372A" w:rsidP="0070372A">
      <w:pPr>
        <w:spacing w:after="0"/>
        <w:ind w:left="720"/>
        <w:rPr>
          <w:sz w:val="24"/>
          <w:szCs w:val="24"/>
        </w:rPr>
      </w:pPr>
    </w:p>
    <w:p w:rsidR="0070372A" w:rsidRPr="0070372A" w:rsidRDefault="0070372A" w:rsidP="0070372A">
      <w:pPr>
        <w:spacing w:after="0"/>
        <w:rPr>
          <w:sz w:val="24"/>
          <w:szCs w:val="24"/>
        </w:rPr>
      </w:pPr>
      <w:r w:rsidRPr="0070372A">
        <w:rPr>
          <w:sz w:val="24"/>
          <w:szCs w:val="24"/>
        </w:rPr>
        <w:t>Week 3 (Jan. 27) Punishment, Deterrence and Retribution</w:t>
      </w:r>
    </w:p>
    <w:p w:rsidR="0070372A" w:rsidRPr="0070372A" w:rsidRDefault="0070372A" w:rsidP="0070372A">
      <w:pPr>
        <w:spacing w:after="0"/>
        <w:ind w:left="720"/>
        <w:rPr>
          <w:sz w:val="24"/>
          <w:szCs w:val="24"/>
        </w:rPr>
      </w:pPr>
    </w:p>
    <w:p w:rsidR="0070372A" w:rsidRPr="0070372A" w:rsidRDefault="0070372A" w:rsidP="0070372A">
      <w:pPr>
        <w:spacing w:after="0"/>
        <w:ind w:left="720"/>
        <w:rPr>
          <w:sz w:val="24"/>
          <w:szCs w:val="24"/>
        </w:rPr>
      </w:pPr>
      <w:r w:rsidRPr="0070372A">
        <w:rPr>
          <w:sz w:val="24"/>
          <w:szCs w:val="24"/>
        </w:rPr>
        <w:t>Erin Kelly: “Criminal Justice without Retribution” (PDF)</w:t>
      </w:r>
    </w:p>
    <w:p w:rsidR="0070372A" w:rsidRPr="0070372A" w:rsidRDefault="0070372A" w:rsidP="0070372A">
      <w:pPr>
        <w:ind w:left="720"/>
        <w:rPr>
          <w:sz w:val="24"/>
          <w:szCs w:val="24"/>
        </w:rPr>
      </w:pPr>
      <w:r w:rsidRPr="0070372A">
        <w:rPr>
          <w:sz w:val="24"/>
          <w:szCs w:val="24"/>
        </w:rPr>
        <w:t>Benjamin Ewing, “The Legitimacy of Retribution”</w:t>
      </w:r>
      <w:r w:rsidR="00A86011" w:rsidRPr="00A86011">
        <w:rPr>
          <w:sz w:val="24"/>
          <w:szCs w:val="24"/>
        </w:rPr>
        <w:t xml:space="preserve"> </w:t>
      </w:r>
      <w:r w:rsidR="00A86011">
        <w:rPr>
          <w:sz w:val="24"/>
          <w:szCs w:val="24"/>
        </w:rPr>
        <w:t>(PDF)</w:t>
      </w:r>
    </w:p>
    <w:p w:rsidR="0070372A" w:rsidRPr="0070372A" w:rsidRDefault="0070372A" w:rsidP="0070372A">
      <w:pPr>
        <w:rPr>
          <w:sz w:val="24"/>
          <w:szCs w:val="24"/>
        </w:rPr>
      </w:pPr>
      <w:r w:rsidRPr="0070372A">
        <w:rPr>
          <w:sz w:val="24"/>
          <w:szCs w:val="24"/>
        </w:rPr>
        <w:t>Week 4 (Feb.3) Punishment or Preventive detention</w:t>
      </w:r>
    </w:p>
    <w:p w:rsidR="0070372A" w:rsidRPr="0070372A" w:rsidRDefault="0070372A" w:rsidP="0070372A">
      <w:pPr>
        <w:spacing w:after="0"/>
        <w:rPr>
          <w:sz w:val="24"/>
          <w:szCs w:val="24"/>
        </w:rPr>
      </w:pPr>
      <w:r w:rsidRPr="0070372A">
        <w:rPr>
          <w:sz w:val="24"/>
          <w:szCs w:val="24"/>
        </w:rPr>
        <w:tab/>
        <w:t>US. V. Comstock</w:t>
      </w:r>
    </w:p>
    <w:p w:rsidR="0070372A" w:rsidRPr="0070372A" w:rsidRDefault="0070372A" w:rsidP="0070372A">
      <w:pPr>
        <w:spacing w:after="0"/>
        <w:ind w:firstLine="720"/>
        <w:rPr>
          <w:sz w:val="24"/>
          <w:szCs w:val="24"/>
        </w:rPr>
      </w:pPr>
      <w:r w:rsidRPr="0070372A">
        <w:rPr>
          <w:sz w:val="24"/>
          <w:szCs w:val="24"/>
        </w:rPr>
        <w:t>Robinson, “Punishing Dangerousness”</w:t>
      </w:r>
      <w:r w:rsidR="00A86011">
        <w:rPr>
          <w:sz w:val="24"/>
          <w:szCs w:val="24"/>
        </w:rPr>
        <w:t xml:space="preserve"> </w:t>
      </w:r>
      <w:r w:rsidR="00A86011" w:rsidRPr="0070372A">
        <w:rPr>
          <w:sz w:val="24"/>
          <w:szCs w:val="24"/>
        </w:rPr>
        <w:t>(PDF);</w:t>
      </w:r>
    </w:p>
    <w:p w:rsidR="0070372A" w:rsidRPr="0070372A" w:rsidRDefault="0070372A" w:rsidP="00A86011">
      <w:pPr>
        <w:spacing w:after="0"/>
        <w:ind w:left="720"/>
        <w:rPr>
          <w:sz w:val="24"/>
          <w:szCs w:val="24"/>
        </w:rPr>
      </w:pPr>
      <w:r w:rsidRPr="0070372A">
        <w:rPr>
          <w:sz w:val="24"/>
          <w:szCs w:val="24"/>
        </w:rPr>
        <w:t>Ferzan, “Beyond Crime and Commitment: Justifying Liberty Deprivations of the Dangerous and Responsible”</w:t>
      </w:r>
      <w:r w:rsidR="00A86011">
        <w:rPr>
          <w:sz w:val="24"/>
          <w:szCs w:val="24"/>
        </w:rPr>
        <w:t xml:space="preserve"> </w:t>
      </w:r>
      <w:r w:rsidR="00A86011" w:rsidRPr="0070372A">
        <w:rPr>
          <w:sz w:val="24"/>
          <w:szCs w:val="24"/>
        </w:rPr>
        <w:t>(PDF);</w:t>
      </w:r>
    </w:p>
    <w:p w:rsidR="0070372A" w:rsidRPr="0070372A" w:rsidRDefault="0070372A" w:rsidP="00A86011">
      <w:pPr>
        <w:spacing w:after="0"/>
        <w:ind w:left="720"/>
        <w:rPr>
          <w:sz w:val="24"/>
          <w:szCs w:val="24"/>
        </w:rPr>
      </w:pPr>
      <w:r w:rsidRPr="0070372A">
        <w:rPr>
          <w:sz w:val="24"/>
          <w:szCs w:val="24"/>
        </w:rPr>
        <w:t>Preventive detention</w:t>
      </w:r>
      <w:r w:rsidR="00A86011">
        <w:rPr>
          <w:sz w:val="24"/>
          <w:szCs w:val="24"/>
        </w:rPr>
        <w:t>,</w:t>
      </w:r>
      <w:r w:rsidRPr="0070372A">
        <w:rPr>
          <w:sz w:val="24"/>
          <w:szCs w:val="24"/>
        </w:rPr>
        <w:t xml:space="preserve"> APA Symposium</w:t>
      </w:r>
      <w:r w:rsidR="00A86011">
        <w:rPr>
          <w:sz w:val="24"/>
          <w:szCs w:val="24"/>
        </w:rPr>
        <w:t xml:space="preserve"> (PDF)</w:t>
      </w:r>
    </w:p>
    <w:p w:rsidR="0070372A" w:rsidRPr="0070372A" w:rsidRDefault="0070372A" w:rsidP="0070372A">
      <w:pPr>
        <w:spacing w:after="0"/>
        <w:ind w:left="720" w:firstLine="720"/>
        <w:rPr>
          <w:sz w:val="24"/>
          <w:szCs w:val="24"/>
        </w:rPr>
      </w:pPr>
    </w:p>
    <w:p w:rsidR="0070372A" w:rsidRPr="0070372A" w:rsidRDefault="0070372A" w:rsidP="0070372A">
      <w:pPr>
        <w:rPr>
          <w:sz w:val="24"/>
          <w:szCs w:val="24"/>
        </w:rPr>
      </w:pPr>
      <w:r w:rsidRPr="0070372A">
        <w:rPr>
          <w:sz w:val="24"/>
          <w:szCs w:val="24"/>
        </w:rPr>
        <w:lastRenderedPageBreak/>
        <w:t>Week  5 (Feb. 10) Excusing , Exempting and Justifying</w:t>
      </w:r>
    </w:p>
    <w:p w:rsidR="0070372A" w:rsidRPr="0070372A" w:rsidRDefault="0070372A" w:rsidP="0070372A">
      <w:pPr>
        <w:spacing w:after="0"/>
        <w:ind w:left="720"/>
        <w:rPr>
          <w:sz w:val="24"/>
          <w:szCs w:val="24"/>
        </w:rPr>
      </w:pPr>
      <w:r w:rsidRPr="0070372A">
        <w:rPr>
          <w:sz w:val="24"/>
          <w:szCs w:val="24"/>
        </w:rPr>
        <w:t xml:space="preserve">Baron, </w:t>
      </w:r>
      <w:r w:rsidR="00A86011">
        <w:rPr>
          <w:sz w:val="24"/>
          <w:szCs w:val="24"/>
        </w:rPr>
        <w:t>“</w:t>
      </w:r>
      <w:r w:rsidRPr="0070372A">
        <w:rPr>
          <w:sz w:val="24"/>
          <w:szCs w:val="24"/>
        </w:rPr>
        <w:t>Justifications and Excuses</w:t>
      </w:r>
      <w:r w:rsidR="00A86011">
        <w:rPr>
          <w:sz w:val="24"/>
          <w:szCs w:val="24"/>
        </w:rPr>
        <w:t>” (PDF)</w:t>
      </w:r>
    </w:p>
    <w:p w:rsidR="0070372A" w:rsidRDefault="0070372A" w:rsidP="0070372A">
      <w:pPr>
        <w:spacing w:after="0"/>
        <w:ind w:left="720"/>
        <w:rPr>
          <w:sz w:val="24"/>
          <w:szCs w:val="24"/>
        </w:rPr>
      </w:pPr>
      <w:r w:rsidRPr="0070372A">
        <w:rPr>
          <w:sz w:val="24"/>
          <w:szCs w:val="24"/>
        </w:rPr>
        <w:t>Regina v. Dudley and Stephens</w:t>
      </w:r>
    </w:p>
    <w:p w:rsidR="0070372A" w:rsidRPr="0070372A" w:rsidRDefault="0070372A" w:rsidP="0070372A">
      <w:pPr>
        <w:spacing w:after="0"/>
        <w:ind w:left="720"/>
        <w:rPr>
          <w:sz w:val="24"/>
          <w:szCs w:val="24"/>
        </w:rPr>
      </w:pPr>
      <w:bookmarkStart w:id="0" w:name="_GoBack"/>
      <w:bookmarkEnd w:id="0"/>
      <w:r w:rsidRPr="0070372A">
        <w:rPr>
          <w:sz w:val="24"/>
          <w:szCs w:val="24"/>
        </w:rPr>
        <w:t>Joshua Dressler, “Duress” (PDF);</w:t>
      </w:r>
    </w:p>
    <w:p w:rsidR="0070372A" w:rsidRPr="0070372A" w:rsidRDefault="0070372A" w:rsidP="0070372A">
      <w:pPr>
        <w:spacing w:after="0"/>
        <w:ind w:left="720"/>
        <w:rPr>
          <w:sz w:val="24"/>
          <w:szCs w:val="24"/>
        </w:rPr>
      </w:pPr>
    </w:p>
    <w:p w:rsidR="0070372A" w:rsidRPr="0070372A" w:rsidRDefault="0070372A" w:rsidP="0070372A">
      <w:pPr>
        <w:spacing w:line="240" w:lineRule="auto"/>
        <w:rPr>
          <w:sz w:val="24"/>
          <w:szCs w:val="24"/>
        </w:rPr>
      </w:pPr>
      <w:r w:rsidRPr="0070372A">
        <w:rPr>
          <w:sz w:val="24"/>
          <w:szCs w:val="24"/>
        </w:rPr>
        <w:t>Week 6 (Feb. 17)  Self-Defense, Necessity and Battering</w:t>
      </w:r>
    </w:p>
    <w:p w:rsidR="0070372A" w:rsidRPr="0070372A" w:rsidRDefault="0070372A" w:rsidP="0070372A">
      <w:pPr>
        <w:spacing w:after="0"/>
        <w:ind w:left="720"/>
        <w:rPr>
          <w:sz w:val="24"/>
          <w:szCs w:val="24"/>
        </w:rPr>
      </w:pPr>
      <w:r w:rsidRPr="0070372A">
        <w:rPr>
          <w:sz w:val="24"/>
          <w:szCs w:val="24"/>
        </w:rPr>
        <w:t>Background: State of New Jersey v. Kelly, NJ 178; State v. Norman 378 S.E.2d 8 (N.C. 1989); People v. Garcia; R. v. Eyapaise.</w:t>
      </w:r>
    </w:p>
    <w:p w:rsidR="0070372A" w:rsidRPr="0070372A" w:rsidRDefault="0070372A" w:rsidP="0070372A">
      <w:pPr>
        <w:spacing w:after="0"/>
        <w:ind w:left="720"/>
        <w:rPr>
          <w:sz w:val="24"/>
          <w:szCs w:val="24"/>
        </w:rPr>
      </w:pPr>
      <w:r w:rsidRPr="0070372A">
        <w:rPr>
          <w:sz w:val="24"/>
          <w:szCs w:val="24"/>
        </w:rPr>
        <w:t>Joshua Dressler, Battered Women and Sleeping Abusers: Some Reflections, (PDF)</w:t>
      </w:r>
    </w:p>
    <w:p w:rsidR="0070372A" w:rsidRPr="0070372A" w:rsidRDefault="0070372A" w:rsidP="0070372A">
      <w:pPr>
        <w:spacing w:after="0"/>
        <w:ind w:left="720"/>
        <w:rPr>
          <w:sz w:val="24"/>
          <w:szCs w:val="24"/>
        </w:rPr>
      </w:pPr>
    </w:p>
    <w:p w:rsidR="0070372A" w:rsidRPr="0070372A" w:rsidRDefault="0070372A" w:rsidP="0070372A">
      <w:pPr>
        <w:spacing w:after="0"/>
        <w:rPr>
          <w:sz w:val="24"/>
          <w:szCs w:val="24"/>
        </w:rPr>
      </w:pPr>
      <w:r w:rsidRPr="0070372A">
        <w:rPr>
          <w:sz w:val="24"/>
          <w:szCs w:val="24"/>
        </w:rPr>
        <w:t>Week 7 (Feb. 24) Self-Defense, Necessity and Battering (cont.)</w:t>
      </w:r>
    </w:p>
    <w:p w:rsidR="0070372A" w:rsidRPr="0070372A" w:rsidRDefault="0070372A" w:rsidP="0070372A">
      <w:pPr>
        <w:spacing w:after="0"/>
        <w:ind w:left="720"/>
        <w:rPr>
          <w:sz w:val="24"/>
          <w:szCs w:val="24"/>
        </w:rPr>
      </w:pPr>
      <w:r w:rsidRPr="0070372A">
        <w:rPr>
          <w:sz w:val="24"/>
          <w:szCs w:val="24"/>
        </w:rPr>
        <w:t>Ripstein, “Self-Defense and Equal Protection” (PDF)</w:t>
      </w:r>
    </w:p>
    <w:p w:rsidR="0070372A" w:rsidRPr="0070372A" w:rsidRDefault="0070372A" w:rsidP="0070372A">
      <w:pPr>
        <w:spacing w:after="0"/>
        <w:ind w:left="720"/>
        <w:rPr>
          <w:sz w:val="24"/>
          <w:szCs w:val="24"/>
        </w:rPr>
      </w:pPr>
      <w:r w:rsidRPr="0070372A">
        <w:rPr>
          <w:sz w:val="24"/>
          <w:szCs w:val="24"/>
        </w:rPr>
        <w:t>Jane Maslow Cohen: “Regimes of Private Tyranny”. (PDF)</w:t>
      </w:r>
    </w:p>
    <w:p w:rsidR="0070372A" w:rsidRPr="0070372A" w:rsidRDefault="00A86011" w:rsidP="0070372A">
      <w:pPr>
        <w:spacing w:after="0"/>
        <w:ind w:left="720"/>
        <w:rPr>
          <w:sz w:val="24"/>
          <w:szCs w:val="24"/>
        </w:rPr>
      </w:pPr>
      <w:r>
        <w:rPr>
          <w:sz w:val="24"/>
          <w:szCs w:val="24"/>
        </w:rPr>
        <w:t>Baron: “Self-Defense: the immi</w:t>
      </w:r>
      <w:r w:rsidR="0070372A" w:rsidRPr="0070372A">
        <w:rPr>
          <w:sz w:val="24"/>
          <w:szCs w:val="24"/>
        </w:rPr>
        <w:t>nence requirement” (PDF)</w:t>
      </w:r>
    </w:p>
    <w:p w:rsidR="0070372A" w:rsidRPr="0070372A" w:rsidRDefault="0070372A" w:rsidP="0070372A">
      <w:pPr>
        <w:spacing w:after="0"/>
        <w:ind w:left="720"/>
        <w:rPr>
          <w:sz w:val="24"/>
          <w:szCs w:val="24"/>
        </w:rPr>
      </w:pPr>
    </w:p>
    <w:p w:rsidR="0070372A" w:rsidRPr="0070372A" w:rsidRDefault="0070372A" w:rsidP="0070372A">
      <w:pPr>
        <w:rPr>
          <w:sz w:val="24"/>
          <w:szCs w:val="24"/>
        </w:rPr>
      </w:pPr>
      <w:r w:rsidRPr="0070372A">
        <w:rPr>
          <w:sz w:val="24"/>
          <w:szCs w:val="24"/>
        </w:rPr>
        <w:t>Week 8 (Mar.2) Juvenile Justice</w:t>
      </w:r>
    </w:p>
    <w:p w:rsidR="0070372A" w:rsidRPr="0070372A" w:rsidRDefault="0070372A" w:rsidP="0070372A">
      <w:pPr>
        <w:spacing w:after="0"/>
        <w:ind w:left="720"/>
        <w:rPr>
          <w:sz w:val="24"/>
          <w:szCs w:val="24"/>
        </w:rPr>
      </w:pPr>
      <w:r w:rsidRPr="0070372A">
        <w:rPr>
          <w:sz w:val="24"/>
          <w:szCs w:val="24"/>
        </w:rPr>
        <w:t>Graham v. Florida; Roper v. Simmons; APA Amicus Brief in Graham v. Florida, pp. 1-34;</w:t>
      </w:r>
    </w:p>
    <w:p w:rsidR="0070372A" w:rsidRPr="0070372A" w:rsidRDefault="0070372A" w:rsidP="0070372A">
      <w:pPr>
        <w:spacing w:after="0"/>
        <w:ind w:left="720"/>
        <w:rPr>
          <w:sz w:val="24"/>
          <w:szCs w:val="24"/>
        </w:rPr>
      </w:pPr>
      <w:r w:rsidRPr="0070372A">
        <w:rPr>
          <w:sz w:val="24"/>
          <w:szCs w:val="24"/>
        </w:rPr>
        <w:t>Scott and Steinberg, “Blaming Youth”</w:t>
      </w:r>
      <w:r w:rsidR="00A86011">
        <w:rPr>
          <w:sz w:val="24"/>
          <w:szCs w:val="24"/>
        </w:rPr>
        <w:t xml:space="preserve"> (PDF)</w:t>
      </w:r>
    </w:p>
    <w:p w:rsidR="0070372A" w:rsidRPr="0070372A" w:rsidRDefault="0070372A" w:rsidP="0070372A">
      <w:pPr>
        <w:spacing w:after="0"/>
        <w:ind w:left="720"/>
        <w:rPr>
          <w:sz w:val="24"/>
          <w:szCs w:val="24"/>
        </w:rPr>
      </w:pPr>
      <w:r w:rsidRPr="0070372A">
        <w:rPr>
          <w:sz w:val="24"/>
          <w:szCs w:val="24"/>
        </w:rPr>
        <w:t xml:space="preserve">JE Carroll, “Brain Science and Juvenile </w:t>
      </w:r>
      <w:r w:rsidRPr="0070372A">
        <w:rPr>
          <w:i/>
          <w:sz w:val="24"/>
          <w:szCs w:val="24"/>
        </w:rPr>
        <w:t>Mens Rea</w:t>
      </w:r>
      <w:r w:rsidRPr="0070372A">
        <w:rPr>
          <w:sz w:val="24"/>
          <w:szCs w:val="24"/>
        </w:rPr>
        <w:t>”</w:t>
      </w:r>
      <w:r w:rsidR="00A86011" w:rsidRPr="00A86011">
        <w:rPr>
          <w:sz w:val="24"/>
          <w:szCs w:val="24"/>
        </w:rPr>
        <w:t xml:space="preserve"> </w:t>
      </w:r>
      <w:r w:rsidR="00A86011">
        <w:rPr>
          <w:sz w:val="24"/>
          <w:szCs w:val="24"/>
        </w:rPr>
        <w:t>(PDF)</w:t>
      </w:r>
    </w:p>
    <w:p w:rsidR="0070372A" w:rsidRPr="0070372A" w:rsidRDefault="0070372A" w:rsidP="0070372A">
      <w:pPr>
        <w:spacing w:after="0"/>
        <w:ind w:left="720"/>
        <w:rPr>
          <w:rFonts w:eastAsia="Times New Roman" w:cs="Arial"/>
          <w:bCs/>
          <w:color w:val="403838"/>
          <w:sz w:val="24"/>
          <w:szCs w:val="24"/>
        </w:rPr>
      </w:pPr>
      <w:r w:rsidRPr="0070372A">
        <w:rPr>
          <w:rFonts w:eastAsia="Times New Roman" w:cs="Arial"/>
          <w:bCs/>
          <w:color w:val="403838"/>
          <w:kern w:val="36"/>
          <w:sz w:val="24"/>
          <w:szCs w:val="24"/>
        </w:rPr>
        <w:t xml:space="preserve">Bonnie and Scott: </w:t>
      </w:r>
      <w:r w:rsidR="00A86011">
        <w:rPr>
          <w:rFonts w:eastAsia="Times New Roman" w:cs="Arial"/>
          <w:bCs/>
          <w:color w:val="403838"/>
          <w:kern w:val="36"/>
          <w:sz w:val="24"/>
          <w:szCs w:val="24"/>
        </w:rPr>
        <w:t>“</w:t>
      </w:r>
      <w:r w:rsidRPr="0070372A">
        <w:rPr>
          <w:rFonts w:eastAsia="Times New Roman" w:cs="Arial"/>
          <w:bCs/>
          <w:color w:val="403838"/>
          <w:kern w:val="36"/>
          <w:sz w:val="24"/>
          <w:szCs w:val="24"/>
        </w:rPr>
        <w:t xml:space="preserve">The Teenage Brain: </w:t>
      </w:r>
      <w:r w:rsidRPr="0070372A">
        <w:rPr>
          <w:rFonts w:eastAsia="Times New Roman" w:cs="Arial"/>
          <w:bCs/>
          <w:color w:val="403838"/>
          <w:sz w:val="24"/>
          <w:szCs w:val="24"/>
        </w:rPr>
        <w:t>Adolescent Brain Research and the Law</w:t>
      </w:r>
      <w:r w:rsidR="00A86011">
        <w:rPr>
          <w:rFonts w:eastAsia="Times New Roman" w:cs="Arial"/>
          <w:bCs/>
          <w:color w:val="403838"/>
          <w:sz w:val="24"/>
          <w:szCs w:val="24"/>
        </w:rPr>
        <w:t xml:space="preserve">” </w:t>
      </w:r>
      <w:r w:rsidR="00A86011">
        <w:rPr>
          <w:sz w:val="24"/>
          <w:szCs w:val="24"/>
        </w:rPr>
        <w:t>(PDF)</w:t>
      </w:r>
    </w:p>
    <w:p w:rsidR="0070372A" w:rsidRPr="0070372A" w:rsidRDefault="0070372A" w:rsidP="0070372A">
      <w:pPr>
        <w:spacing w:after="0"/>
        <w:ind w:left="720"/>
        <w:rPr>
          <w:sz w:val="24"/>
          <w:szCs w:val="24"/>
        </w:rPr>
      </w:pPr>
    </w:p>
    <w:p w:rsidR="0070372A" w:rsidRPr="0070372A" w:rsidRDefault="0070372A" w:rsidP="0070372A">
      <w:pPr>
        <w:spacing w:after="0"/>
        <w:rPr>
          <w:sz w:val="24"/>
          <w:szCs w:val="24"/>
        </w:rPr>
      </w:pPr>
      <w:r w:rsidRPr="0070372A">
        <w:rPr>
          <w:sz w:val="24"/>
          <w:szCs w:val="24"/>
        </w:rPr>
        <w:t>Week 9 (Mar. 9) Juvenile Justice (cont.)</w:t>
      </w:r>
    </w:p>
    <w:p w:rsidR="0070372A" w:rsidRPr="0070372A" w:rsidRDefault="0070372A" w:rsidP="0070372A">
      <w:pPr>
        <w:spacing w:after="0"/>
        <w:rPr>
          <w:sz w:val="24"/>
          <w:szCs w:val="24"/>
        </w:rPr>
      </w:pPr>
    </w:p>
    <w:p w:rsidR="0070372A" w:rsidRPr="0070372A" w:rsidRDefault="0070372A" w:rsidP="0070372A">
      <w:pPr>
        <w:spacing w:after="0"/>
        <w:ind w:left="720"/>
        <w:rPr>
          <w:sz w:val="24"/>
          <w:szCs w:val="24"/>
        </w:rPr>
      </w:pPr>
      <w:r w:rsidRPr="0070372A">
        <w:rPr>
          <w:sz w:val="24"/>
          <w:szCs w:val="24"/>
        </w:rPr>
        <w:t>Barry Feld, “Abolish the Juvenile Court”</w:t>
      </w:r>
      <w:r w:rsidR="00A86011">
        <w:rPr>
          <w:sz w:val="24"/>
          <w:szCs w:val="24"/>
        </w:rPr>
        <w:t xml:space="preserve"> (PDF)</w:t>
      </w:r>
    </w:p>
    <w:p w:rsidR="0070372A" w:rsidRPr="0070372A" w:rsidRDefault="0070372A" w:rsidP="0070372A">
      <w:pPr>
        <w:spacing w:after="0" w:line="240" w:lineRule="auto"/>
        <w:ind w:left="720"/>
        <w:rPr>
          <w:sz w:val="24"/>
          <w:szCs w:val="24"/>
        </w:rPr>
      </w:pPr>
      <w:r w:rsidRPr="0070372A">
        <w:rPr>
          <w:sz w:val="24"/>
          <w:szCs w:val="24"/>
        </w:rPr>
        <w:t xml:space="preserve">Butts, </w:t>
      </w:r>
      <w:r w:rsidR="00A86011">
        <w:rPr>
          <w:sz w:val="24"/>
          <w:szCs w:val="24"/>
        </w:rPr>
        <w:t>“</w:t>
      </w:r>
      <w:r w:rsidRPr="0070372A">
        <w:rPr>
          <w:sz w:val="24"/>
          <w:szCs w:val="24"/>
        </w:rPr>
        <w:t>Can we do without juvenile justice?</w:t>
      </w:r>
      <w:r w:rsidR="00A86011">
        <w:rPr>
          <w:sz w:val="24"/>
          <w:szCs w:val="24"/>
        </w:rPr>
        <w:t>” (PDF)</w:t>
      </w:r>
    </w:p>
    <w:p w:rsidR="0070372A" w:rsidRPr="0070372A" w:rsidRDefault="0070372A" w:rsidP="0070372A">
      <w:pPr>
        <w:spacing w:after="0"/>
        <w:ind w:left="720"/>
        <w:rPr>
          <w:sz w:val="24"/>
          <w:szCs w:val="24"/>
        </w:rPr>
      </w:pPr>
      <w:r w:rsidRPr="0070372A">
        <w:rPr>
          <w:sz w:val="24"/>
          <w:szCs w:val="24"/>
        </w:rPr>
        <w:t>David Brink, “Immaturity, Normative Competence, and Juvenile Transfer”. (PDF)</w:t>
      </w:r>
    </w:p>
    <w:p w:rsidR="0070372A" w:rsidRPr="0070372A" w:rsidRDefault="0070372A" w:rsidP="0070372A">
      <w:pPr>
        <w:spacing w:after="0"/>
        <w:ind w:left="720"/>
        <w:rPr>
          <w:sz w:val="24"/>
          <w:szCs w:val="24"/>
        </w:rPr>
      </w:pPr>
      <w:r w:rsidRPr="0070372A">
        <w:rPr>
          <w:sz w:val="24"/>
          <w:szCs w:val="24"/>
        </w:rPr>
        <w:t>Duff, “Punishing the Young”</w:t>
      </w:r>
      <w:r w:rsidR="00A86011">
        <w:rPr>
          <w:sz w:val="24"/>
          <w:szCs w:val="24"/>
        </w:rPr>
        <w:t xml:space="preserve"> (PDF)</w:t>
      </w:r>
    </w:p>
    <w:p w:rsidR="0070372A" w:rsidRPr="0070372A" w:rsidRDefault="0070372A" w:rsidP="0070372A">
      <w:pPr>
        <w:spacing w:after="0"/>
        <w:ind w:left="720"/>
        <w:rPr>
          <w:sz w:val="24"/>
          <w:szCs w:val="24"/>
        </w:rPr>
      </w:pPr>
    </w:p>
    <w:p w:rsidR="0070372A" w:rsidRPr="0070372A" w:rsidRDefault="0070372A" w:rsidP="0070372A">
      <w:pPr>
        <w:rPr>
          <w:sz w:val="24"/>
          <w:szCs w:val="24"/>
        </w:rPr>
      </w:pPr>
      <w:r w:rsidRPr="0070372A">
        <w:rPr>
          <w:sz w:val="24"/>
          <w:szCs w:val="24"/>
        </w:rPr>
        <w:t>SPRING BREAK  March 14-18</w:t>
      </w:r>
    </w:p>
    <w:p w:rsidR="0070372A" w:rsidRPr="0070372A" w:rsidRDefault="0070372A" w:rsidP="0070372A">
      <w:pPr>
        <w:spacing w:after="0"/>
        <w:rPr>
          <w:sz w:val="24"/>
          <w:szCs w:val="24"/>
        </w:rPr>
      </w:pPr>
    </w:p>
    <w:p w:rsidR="0070372A" w:rsidRPr="0070372A" w:rsidRDefault="0070372A" w:rsidP="0070372A">
      <w:pPr>
        <w:rPr>
          <w:sz w:val="24"/>
          <w:szCs w:val="24"/>
        </w:rPr>
      </w:pPr>
      <w:r w:rsidRPr="0070372A">
        <w:rPr>
          <w:sz w:val="24"/>
          <w:szCs w:val="24"/>
        </w:rPr>
        <w:t xml:space="preserve">Week 10 (Mar. 23) </w:t>
      </w:r>
      <w:r w:rsidR="00C06761">
        <w:rPr>
          <w:sz w:val="24"/>
          <w:szCs w:val="24"/>
        </w:rPr>
        <w:t xml:space="preserve">Criminal justice, Race, </w:t>
      </w:r>
      <w:r w:rsidRPr="0070372A">
        <w:rPr>
          <w:sz w:val="24"/>
          <w:szCs w:val="24"/>
        </w:rPr>
        <w:t>and disadvantaged background</w:t>
      </w:r>
    </w:p>
    <w:p w:rsidR="00C06761" w:rsidRDefault="00C06761" w:rsidP="00C06761">
      <w:pPr>
        <w:spacing w:after="0" w:line="240" w:lineRule="auto"/>
        <w:ind w:left="720"/>
        <w:rPr>
          <w:sz w:val="24"/>
          <w:szCs w:val="24"/>
        </w:rPr>
      </w:pPr>
      <w:r w:rsidRPr="0070372A">
        <w:rPr>
          <w:sz w:val="24"/>
          <w:szCs w:val="24"/>
        </w:rPr>
        <w:t xml:space="preserve">William J. Stuntz,  </w:t>
      </w:r>
      <w:r>
        <w:rPr>
          <w:sz w:val="24"/>
          <w:szCs w:val="24"/>
        </w:rPr>
        <w:t>“</w:t>
      </w:r>
      <w:r w:rsidRPr="0070372A">
        <w:rPr>
          <w:sz w:val="24"/>
          <w:szCs w:val="24"/>
        </w:rPr>
        <w:t>The Collapse of the A</w:t>
      </w:r>
      <w:r>
        <w:rPr>
          <w:sz w:val="24"/>
          <w:szCs w:val="24"/>
        </w:rPr>
        <w:t>merican Criminal Justice System”</w:t>
      </w:r>
      <w:r w:rsidRPr="0070372A">
        <w:rPr>
          <w:sz w:val="24"/>
          <w:szCs w:val="24"/>
        </w:rPr>
        <w:t xml:space="preserve"> (PDF)</w:t>
      </w:r>
    </w:p>
    <w:p w:rsidR="00C06761" w:rsidRPr="0070372A" w:rsidRDefault="00C06761" w:rsidP="00C06761">
      <w:pPr>
        <w:spacing w:after="0" w:line="240" w:lineRule="auto"/>
        <w:ind w:left="720"/>
        <w:rPr>
          <w:sz w:val="24"/>
          <w:szCs w:val="24"/>
        </w:rPr>
      </w:pPr>
      <w:r>
        <w:rPr>
          <w:sz w:val="24"/>
          <w:szCs w:val="24"/>
        </w:rPr>
        <w:t>Garland, Review of Stuntz (PDF)</w:t>
      </w:r>
    </w:p>
    <w:p w:rsidR="00C06761" w:rsidRPr="0070372A" w:rsidRDefault="00C06761" w:rsidP="00C06761">
      <w:pPr>
        <w:spacing w:after="0" w:line="240" w:lineRule="auto"/>
        <w:ind w:left="720"/>
        <w:rPr>
          <w:sz w:val="24"/>
          <w:szCs w:val="24"/>
        </w:rPr>
      </w:pPr>
      <w:r w:rsidRPr="0070372A">
        <w:rPr>
          <w:sz w:val="24"/>
          <w:szCs w:val="24"/>
        </w:rPr>
        <w:t>Brian Barry, “The Making of the Black Gulag”, (PDF)</w:t>
      </w:r>
    </w:p>
    <w:p w:rsidR="00C06761" w:rsidRPr="0070372A" w:rsidRDefault="00C06761" w:rsidP="00C06761">
      <w:pPr>
        <w:spacing w:after="0" w:line="240" w:lineRule="auto"/>
        <w:ind w:left="720"/>
        <w:rPr>
          <w:sz w:val="24"/>
          <w:szCs w:val="24"/>
        </w:rPr>
      </w:pPr>
      <w:r w:rsidRPr="0070372A">
        <w:rPr>
          <w:sz w:val="24"/>
          <w:szCs w:val="24"/>
        </w:rPr>
        <w:lastRenderedPageBreak/>
        <w:t>Michelle Alexander, “The New Jim Crow” (PDF)</w:t>
      </w:r>
    </w:p>
    <w:p w:rsidR="0070372A" w:rsidRPr="0070372A" w:rsidRDefault="0070372A" w:rsidP="0070372A">
      <w:pPr>
        <w:spacing w:after="0"/>
        <w:ind w:left="720"/>
        <w:rPr>
          <w:sz w:val="24"/>
          <w:szCs w:val="24"/>
        </w:rPr>
      </w:pPr>
    </w:p>
    <w:p w:rsidR="0070372A" w:rsidRPr="0070372A" w:rsidRDefault="0070372A" w:rsidP="0070372A">
      <w:pPr>
        <w:rPr>
          <w:sz w:val="24"/>
          <w:szCs w:val="24"/>
        </w:rPr>
      </w:pPr>
      <w:r w:rsidRPr="0070372A">
        <w:rPr>
          <w:sz w:val="24"/>
          <w:szCs w:val="24"/>
        </w:rPr>
        <w:t xml:space="preserve">Week 11 (Mar. 30) </w:t>
      </w:r>
      <w:r w:rsidR="006617EA">
        <w:rPr>
          <w:sz w:val="24"/>
          <w:szCs w:val="24"/>
        </w:rPr>
        <w:t>Punishing victims of social injustice (i)</w:t>
      </w:r>
    </w:p>
    <w:p w:rsidR="00560FE9" w:rsidRPr="0070372A" w:rsidRDefault="00560FE9" w:rsidP="00560FE9">
      <w:pPr>
        <w:spacing w:after="0"/>
        <w:ind w:left="720"/>
        <w:rPr>
          <w:sz w:val="24"/>
          <w:szCs w:val="24"/>
        </w:rPr>
      </w:pPr>
      <w:r w:rsidRPr="0070372A">
        <w:rPr>
          <w:sz w:val="24"/>
          <w:szCs w:val="24"/>
        </w:rPr>
        <w:t>David Barzelon,  “The Morality of the Criminal Law”</w:t>
      </w:r>
      <w:r>
        <w:rPr>
          <w:sz w:val="24"/>
          <w:szCs w:val="24"/>
        </w:rPr>
        <w:t xml:space="preserve"> (PDF)</w:t>
      </w:r>
    </w:p>
    <w:p w:rsidR="00560FE9" w:rsidRPr="0070372A" w:rsidRDefault="00560FE9" w:rsidP="00560FE9">
      <w:pPr>
        <w:spacing w:after="0"/>
        <w:ind w:left="720"/>
        <w:rPr>
          <w:sz w:val="24"/>
          <w:szCs w:val="24"/>
        </w:rPr>
      </w:pPr>
      <w:r w:rsidRPr="0070372A">
        <w:rPr>
          <w:sz w:val="24"/>
          <w:szCs w:val="24"/>
        </w:rPr>
        <w:t>Justice Bazelon’s dissent in US v. Alexander (PDF)</w:t>
      </w:r>
    </w:p>
    <w:p w:rsidR="00560FE9" w:rsidRPr="0070372A" w:rsidRDefault="00560FE9" w:rsidP="00560FE9">
      <w:pPr>
        <w:spacing w:after="0"/>
        <w:ind w:left="720"/>
        <w:rPr>
          <w:sz w:val="24"/>
          <w:szCs w:val="24"/>
        </w:rPr>
      </w:pPr>
      <w:r w:rsidRPr="0070372A">
        <w:rPr>
          <w:sz w:val="24"/>
          <w:szCs w:val="24"/>
        </w:rPr>
        <w:t>Stephen Morse, Reply to Bazelon</w:t>
      </w:r>
      <w:r>
        <w:rPr>
          <w:sz w:val="24"/>
          <w:szCs w:val="24"/>
        </w:rPr>
        <w:t xml:space="preserve"> (PDF)</w:t>
      </w:r>
    </w:p>
    <w:p w:rsidR="0070372A" w:rsidRPr="0070372A" w:rsidRDefault="0070372A" w:rsidP="0070372A">
      <w:pPr>
        <w:spacing w:after="0" w:line="360" w:lineRule="auto"/>
        <w:ind w:left="720"/>
        <w:rPr>
          <w:sz w:val="24"/>
          <w:szCs w:val="24"/>
        </w:rPr>
      </w:pPr>
      <w:r w:rsidRPr="0070372A">
        <w:rPr>
          <w:sz w:val="24"/>
          <w:szCs w:val="24"/>
        </w:rPr>
        <w:t xml:space="preserve"> </w:t>
      </w:r>
    </w:p>
    <w:p w:rsidR="0070372A" w:rsidRPr="0070372A" w:rsidRDefault="0070372A" w:rsidP="0070372A">
      <w:pPr>
        <w:rPr>
          <w:sz w:val="24"/>
          <w:szCs w:val="24"/>
        </w:rPr>
      </w:pPr>
      <w:r w:rsidRPr="0070372A">
        <w:rPr>
          <w:sz w:val="24"/>
          <w:szCs w:val="24"/>
        </w:rPr>
        <w:t xml:space="preserve">Week 12 (April 6) </w:t>
      </w:r>
      <w:r w:rsidR="006617EA">
        <w:rPr>
          <w:sz w:val="24"/>
          <w:szCs w:val="24"/>
        </w:rPr>
        <w:t>Punishing victims of social injustice</w:t>
      </w:r>
      <w:r w:rsidR="006617EA" w:rsidRPr="0070372A">
        <w:rPr>
          <w:sz w:val="24"/>
          <w:szCs w:val="24"/>
        </w:rPr>
        <w:t xml:space="preserve"> </w:t>
      </w:r>
      <w:r w:rsidR="006617EA">
        <w:rPr>
          <w:sz w:val="24"/>
          <w:szCs w:val="24"/>
        </w:rPr>
        <w:t>(ii)</w:t>
      </w:r>
    </w:p>
    <w:p w:rsidR="00560FE9" w:rsidRPr="0070372A" w:rsidRDefault="00560FE9" w:rsidP="00560FE9">
      <w:pPr>
        <w:spacing w:after="0"/>
        <w:ind w:left="720"/>
        <w:rPr>
          <w:sz w:val="24"/>
          <w:szCs w:val="24"/>
        </w:rPr>
      </w:pPr>
      <w:r w:rsidRPr="0070372A">
        <w:rPr>
          <w:sz w:val="24"/>
          <w:szCs w:val="24"/>
        </w:rPr>
        <w:t>Delgado, “The Rotten Social Background Defense” (PDF).</w:t>
      </w:r>
    </w:p>
    <w:p w:rsidR="0070372A" w:rsidRPr="0070372A" w:rsidRDefault="00560FE9" w:rsidP="00560FE9">
      <w:pPr>
        <w:spacing w:after="0" w:line="360" w:lineRule="auto"/>
        <w:ind w:left="720"/>
        <w:rPr>
          <w:sz w:val="24"/>
          <w:szCs w:val="24"/>
        </w:rPr>
      </w:pPr>
      <w:r w:rsidRPr="0070372A">
        <w:rPr>
          <w:sz w:val="24"/>
          <w:szCs w:val="24"/>
        </w:rPr>
        <w:t>Paul Robinson, “Are we Responsible for Who We Are?”</w:t>
      </w:r>
      <w:r>
        <w:rPr>
          <w:sz w:val="24"/>
          <w:szCs w:val="24"/>
        </w:rPr>
        <w:t xml:space="preserve"> (PDF)</w:t>
      </w:r>
    </w:p>
    <w:p w:rsidR="0070372A" w:rsidRPr="0070372A" w:rsidRDefault="0070372A" w:rsidP="0070372A">
      <w:pPr>
        <w:rPr>
          <w:sz w:val="24"/>
          <w:szCs w:val="24"/>
        </w:rPr>
      </w:pPr>
      <w:r w:rsidRPr="0070372A">
        <w:rPr>
          <w:sz w:val="24"/>
          <w:szCs w:val="24"/>
        </w:rPr>
        <w:t>Week 13 (April</w:t>
      </w:r>
      <w:r w:rsidR="00BD3C00">
        <w:rPr>
          <w:sz w:val="24"/>
          <w:szCs w:val="24"/>
        </w:rPr>
        <w:t xml:space="preserve"> 13) Punishing victims of social injustice</w:t>
      </w:r>
      <w:r w:rsidRPr="0070372A">
        <w:rPr>
          <w:sz w:val="24"/>
          <w:szCs w:val="24"/>
        </w:rPr>
        <w:t xml:space="preserve"> </w:t>
      </w:r>
      <w:r w:rsidR="006617EA">
        <w:rPr>
          <w:sz w:val="24"/>
          <w:szCs w:val="24"/>
        </w:rPr>
        <w:t>(iii)</w:t>
      </w:r>
    </w:p>
    <w:p w:rsidR="0070372A" w:rsidRPr="0070372A" w:rsidRDefault="0070372A" w:rsidP="0070372A">
      <w:pPr>
        <w:spacing w:after="0" w:line="240" w:lineRule="auto"/>
        <w:ind w:left="720"/>
        <w:rPr>
          <w:sz w:val="24"/>
          <w:szCs w:val="24"/>
        </w:rPr>
      </w:pPr>
      <w:r w:rsidRPr="0070372A">
        <w:rPr>
          <w:sz w:val="24"/>
          <w:szCs w:val="24"/>
        </w:rPr>
        <w:t xml:space="preserve">Tommie Shelby, “Justice, Deviance, and the Dark Ghetto,” </w:t>
      </w:r>
      <w:r w:rsidR="00A7736F" w:rsidRPr="0070372A">
        <w:rPr>
          <w:sz w:val="24"/>
          <w:szCs w:val="24"/>
        </w:rPr>
        <w:t>(PDF)</w:t>
      </w:r>
      <w:r w:rsidRPr="0070372A">
        <w:rPr>
          <w:sz w:val="24"/>
          <w:szCs w:val="24"/>
        </w:rPr>
        <w:t>.</w:t>
      </w:r>
    </w:p>
    <w:p w:rsidR="0070372A" w:rsidRPr="0070372A" w:rsidRDefault="0070372A" w:rsidP="0070372A">
      <w:pPr>
        <w:spacing w:after="0" w:line="240" w:lineRule="auto"/>
        <w:ind w:firstLine="720"/>
        <w:rPr>
          <w:sz w:val="24"/>
          <w:szCs w:val="24"/>
        </w:rPr>
      </w:pPr>
      <w:r w:rsidRPr="0070372A">
        <w:rPr>
          <w:sz w:val="24"/>
          <w:szCs w:val="24"/>
        </w:rPr>
        <w:t>Antony Duff, TBA</w:t>
      </w:r>
    </w:p>
    <w:p w:rsidR="0070372A" w:rsidRPr="0070372A" w:rsidRDefault="0070372A" w:rsidP="0070372A">
      <w:pPr>
        <w:spacing w:after="0" w:line="240" w:lineRule="auto"/>
        <w:ind w:left="720"/>
        <w:rPr>
          <w:sz w:val="24"/>
          <w:szCs w:val="24"/>
        </w:rPr>
      </w:pPr>
      <w:r w:rsidRPr="0070372A">
        <w:rPr>
          <w:sz w:val="24"/>
          <w:szCs w:val="24"/>
        </w:rPr>
        <w:t xml:space="preserve">Victor Tadros, </w:t>
      </w:r>
      <w:r w:rsidR="00A7736F">
        <w:rPr>
          <w:sz w:val="24"/>
          <w:szCs w:val="24"/>
        </w:rPr>
        <w:t>“</w:t>
      </w:r>
      <w:r w:rsidRPr="0070372A">
        <w:rPr>
          <w:sz w:val="24"/>
          <w:szCs w:val="24"/>
        </w:rPr>
        <w:t>Poverty and criminal responsibility</w:t>
      </w:r>
      <w:r w:rsidR="00A7736F">
        <w:rPr>
          <w:sz w:val="24"/>
          <w:szCs w:val="24"/>
        </w:rPr>
        <w:t xml:space="preserve">” </w:t>
      </w:r>
      <w:r w:rsidR="00A7736F" w:rsidRPr="0070372A">
        <w:rPr>
          <w:sz w:val="24"/>
          <w:szCs w:val="24"/>
        </w:rPr>
        <w:t>(PDF)</w:t>
      </w:r>
    </w:p>
    <w:p w:rsidR="0070372A" w:rsidRPr="0070372A" w:rsidRDefault="0070372A" w:rsidP="0070372A">
      <w:pPr>
        <w:spacing w:after="0"/>
        <w:ind w:left="720"/>
        <w:rPr>
          <w:sz w:val="24"/>
          <w:szCs w:val="24"/>
        </w:rPr>
      </w:pPr>
    </w:p>
    <w:p w:rsidR="0070372A" w:rsidRPr="0070372A" w:rsidRDefault="0070372A" w:rsidP="0070372A">
      <w:pPr>
        <w:rPr>
          <w:sz w:val="24"/>
          <w:szCs w:val="24"/>
        </w:rPr>
      </w:pPr>
      <w:r w:rsidRPr="0070372A">
        <w:rPr>
          <w:sz w:val="24"/>
          <w:szCs w:val="24"/>
        </w:rPr>
        <w:t xml:space="preserve">Week 14 </w:t>
      </w:r>
      <w:r w:rsidR="00A86011">
        <w:rPr>
          <w:sz w:val="24"/>
          <w:szCs w:val="24"/>
        </w:rPr>
        <w:t>(</w:t>
      </w:r>
      <w:r w:rsidRPr="0070372A">
        <w:rPr>
          <w:sz w:val="24"/>
          <w:szCs w:val="24"/>
        </w:rPr>
        <w:t>April 20</w:t>
      </w:r>
      <w:r w:rsidR="00A86011">
        <w:rPr>
          <w:sz w:val="24"/>
          <w:szCs w:val="24"/>
        </w:rPr>
        <w:t>)</w:t>
      </w:r>
      <w:r w:rsidRPr="0070372A">
        <w:rPr>
          <w:sz w:val="24"/>
          <w:szCs w:val="24"/>
        </w:rPr>
        <w:t xml:space="preserve"> Concluding Discussion </w:t>
      </w:r>
    </w:p>
    <w:p w:rsidR="003C05E1" w:rsidRDefault="009537EF"/>
    <w:sectPr w:rsidR="003C05E1" w:rsidSect="0070372A">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72A" w:rsidRDefault="0070372A" w:rsidP="0070372A">
      <w:pPr>
        <w:spacing w:after="0" w:line="240" w:lineRule="auto"/>
      </w:pPr>
      <w:r>
        <w:separator/>
      </w:r>
    </w:p>
  </w:endnote>
  <w:endnote w:type="continuationSeparator" w:id="0">
    <w:p w:rsidR="0070372A" w:rsidRDefault="0070372A" w:rsidP="00703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425980"/>
      <w:docPartObj>
        <w:docPartGallery w:val="Page Numbers (Bottom of Page)"/>
        <w:docPartUnique/>
      </w:docPartObj>
    </w:sdtPr>
    <w:sdtEndPr>
      <w:rPr>
        <w:noProof/>
      </w:rPr>
    </w:sdtEndPr>
    <w:sdtContent>
      <w:p w:rsidR="0070372A" w:rsidRDefault="0070372A">
        <w:pPr>
          <w:pStyle w:val="Footer"/>
          <w:jc w:val="center"/>
        </w:pPr>
        <w:r>
          <w:fldChar w:fldCharType="begin"/>
        </w:r>
        <w:r>
          <w:instrText xml:space="preserve"> PAGE   \* MERGEFORMAT </w:instrText>
        </w:r>
        <w:r>
          <w:fldChar w:fldCharType="separate"/>
        </w:r>
        <w:r w:rsidR="009537EF">
          <w:rPr>
            <w:noProof/>
          </w:rPr>
          <w:t>3</w:t>
        </w:r>
        <w:r>
          <w:rPr>
            <w:noProof/>
          </w:rPr>
          <w:fldChar w:fldCharType="end"/>
        </w:r>
      </w:p>
    </w:sdtContent>
  </w:sdt>
  <w:p w:rsidR="0070372A" w:rsidRDefault="00703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72A" w:rsidRDefault="0070372A" w:rsidP="0070372A">
      <w:pPr>
        <w:spacing w:after="0" w:line="240" w:lineRule="auto"/>
      </w:pPr>
      <w:r>
        <w:separator/>
      </w:r>
    </w:p>
  </w:footnote>
  <w:footnote w:type="continuationSeparator" w:id="0">
    <w:p w:rsidR="0070372A" w:rsidRDefault="0070372A" w:rsidP="00703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2A" w:rsidRDefault="0070372A">
    <w:pPr>
      <w:pStyle w:val="Header"/>
    </w:pPr>
  </w:p>
  <w:p w:rsidR="0070372A" w:rsidRDefault="0070372A">
    <w:pPr>
      <w:pStyle w:val="Header"/>
    </w:pPr>
  </w:p>
  <w:p w:rsidR="0070372A" w:rsidRDefault="0070372A">
    <w:pPr>
      <w:pStyle w:val="Header"/>
    </w:pPr>
    <w:r>
      <w:t>Law 851 Spring 2016</w:t>
    </w:r>
  </w:p>
  <w:p w:rsidR="0070372A" w:rsidRDefault="0070372A">
    <w:pPr>
      <w:pStyle w:val="Header"/>
    </w:pPr>
  </w:p>
  <w:p w:rsidR="0070372A" w:rsidRDefault="0070372A">
    <w:pPr>
      <w:pStyle w:val="Header"/>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72A"/>
    <w:rsid w:val="00065FAF"/>
    <w:rsid w:val="00560FE9"/>
    <w:rsid w:val="006617EA"/>
    <w:rsid w:val="0070372A"/>
    <w:rsid w:val="0074336C"/>
    <w:rsid w:val="007F2650"/>
    <w:rsid w:val="008A7911"/>
    <w:rsid w:val="009537EF"/>
    <w:rsid w:val="00A7736F"/>
    <w:rsid w:val="00A86011"/>
    <w:rsid w:val="00B911AD"/>
    <w:rsid w:val="00BD3C00"/>
    <w:rsid w:val="00C06761"/>
    <w:rsid w:val="00E95D5D"/>
    <w:rsid w:val="00EE51D6"/>
    <w:rsid w:val="00F01BA9"/>
    <w:rsid w:val="00F6633A"/>
    <w:rsid w:val="00FF4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72A"/>
    <w:pPr>
      <w:spacing w:after="200" w:line="276"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72A"/>
  </w:style>
  <w:style w:type="paragraph" w:styleId="Footer">
    <w:name w:val="footer"/>
    <w:basedOn w:val="Normal"/>
    <w:link w:val="FooterChar"/>
    <w:uiPriority w:val="99"/>
    <w:unhideWhenUsed/>
    <w:rsid w:val="00703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72A"/>
  </w:style>
  <w:style w:type="paragraph" w:styleId="BalloonText">
    <w:name w:val="Balloon Text"/>
    <w:basedOn w:val="Normal"/>
    <w:link w:val="BalloonTextChar"/>
    <w:uiPriority w:val="99"/>
    <w:semiHidden/>
    <w:unhideWhenUsed/>
    <w:rsid w:val="00703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72A"/>
    <w:pPr>
      <w:spacing w:after="200" w:line="276"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72A"/>
  </w:style>
  <w:style w:type="paragraph" w:styleId="Footer">
    <w:name w:val="footer"/>
    <w:basedOn w:val="Normal"/>
    <w:link w:val="FooterChar"/>
    <w:uiPriority w:val="99"/>
    <w:unhideWhenUsed/>
    <w:rsid w:val="00703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72A"/>
  </w:style>
  <w:style w:type="paragraph" w:styleId="BalloonText">
    <w:name w:val="Balloon Text"/>
    <w:basedOn w:val="Normal"/>
    <w:link w:val="BalloonTextChar"/>
    <w:uiPriority w:val="99"/>
    <w:semiHidden/>
    <w:unhideWhenUsed/>
    <w:rsid w:val="00703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Watson</dc:creator>
  <cp:lastModifiedBy>Gary Watson</cp:lastModifiedBy>
  <cp:revision>2</cp:revision>
  <dcterms:created xsi:type="dcterms:W3CDTF">2016-01-07T21:31:00Z</dcterms:created>
  <dcterms:modified xsi:type="dcterms:W3CDTF">2016-01-07T21:31:00Z</dcterms:modified>
</cp:coreProperties>
</file>