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D11B19" w:rsidP="00D11B19">
      <w:pPr>
        <w:tabs>
          <w:tab w:val="left" w:pos="720"/>
          <w:tab w:val="center" w:pos="4680"/>
        </w:tabs>
        <w:spacing w:before="100"/>
        <w:rPr>
          <w:rFonts w:cs="Arial"/>
          <w:b/>
          <w:bCs/>
          <w:sz w:val="32"/>
          <w:szCs w:val="32"/>
        </w:rPr>
      </w:pPr>
      <w:r>
        <w:rPr>
          <w:rFonts w:cs="Arial"/>
          <w:b/>
          <w:bCs/>
          <w:sz w:val="32"/>
          <w:szCs w:val="32"/>
        </w:rPr>
        <w:tab/>
      </w:r>
      <w:r>
        <w:rPr>
          <w:rFonts w:cs="Arial"/>
          <w:b/>
          <w:bCs/>
          <w:sz w:val="32"/>
          <w:szCs w:val="32"/>
        </w:rPr>
        <w:tab/>
      </w:r>
      <w:r w:rsidR="00780E4E">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Default="0070366A" w:rsidP="0070366A">
      <w:pPr>
        <w:spacing w:before="100"/>
        <w:jc w:val="center"/>
        <w:rPr>
          <w:rFonts w:cs="Arial"/>
          <w:b/>
          <w:bCs/>
          <w:sz w:val="32"/>
          <w:szCs w:val="32"/>
        </w:rPr>
      </w:pPr>
      <w:r>
        <w:rPr>
          <w:rFonts w:cs="Arial"/>
          <w:b/>
          <w:bCs/>
          <w:sz w:val="32"/>
          <w:szCs w:val="32"/>
        </w:rPr>
        <w:t>Section</w:t>
      </w:r>
      <w:r w:rsidR="000A0529">
        <w:rPr>
          <w:rFonts w:cs="Arial"/>
          <w:b/>
          <w:bCs/>
          <w:sz w:val="32"/>
          <w:szCs w:val="32"/>
        </w:rPr>
        <w:t>s:  67018</w:t>
      </w:r>
    </w:p>
    <w:p w:rsidR="000A0529" w:rsidRPr="008B33DB" w:rsidRDefault="000A0529" w:rsidP="0070366A">
      <w:pPr>
        <w:spacing w:before="100"/>
        <w:jc w:val="center"/>
        <w:rPr>
          <w:rFonts w:cs="Arial"/>
          <w:b/>
          <w:bCs/>
          <w:sz w:val="32"/>
          <w:szCs w:val="32"/>
        </w:rPr>
      </w:pPr>
      <w:r>
        <w:rPr>
          <w:rFonts w:cs="Arial"/>
          <w:b/>
          <w:bCs/>
          <w:sz w:val="32"/>
          <w:szCs w:val="32"/>
        </w:rPr>
        <w:tab/>
      </w:r>
      <w:r>
        <w:rPr>
          <w:rFonts w:cs="Arial"/>
          <w:b/>
          <w:bCs/>
          <w:sz w:val="32"/>
          <w:szCs w:val="32"/>
        </w:rPr>
        <w:tab/>
      </w:r>
      <w:bookmarkStart w:id="0" w:name="_GoBack"/>
      <w:bookmarkEnd w:id="0"/>
      <w:r>
        <w:rPr>
          <w:rFonts w:cs="Arial"/>
          <w:b/>
          <w:bCs/>
          <w:sz w:val="32"/>
          <w:szCs w:val="32"/>
        </w:rPr>
        <w:t>7019</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C00912" w:rsidRDefault="00E85E70" w:rsidP="0070366A">
      <w:pPr>
        <w:autoSpaceDE w:val="0"/>
        <w:autoSpaceDN w:val="0"/>
        <w:adjustRightInd w:val="0"/>
        <w:jc w:val="center"/>
        <w:rPr>
          <w:rFonts w:cs="Arial"/>
          <w:b/>
          <w:bCs/>
          <w:i/>
          <w:color w:val="262626"/>
          <w:szCs w:val="24"/>
        </w:rPr>
      </w:pPr>
      <w:r>
        <w:rPr>
          <w:rFonts w:cs="Arial"/>
          <w:b/>
          <w:bCs/>
          <w:i/>
          <w:color w:val="262626"/>
          <w:szCs w:val="24"/>
        </w:rPr>
        <w:t>VAC Fall-1</w:t>
      </w:r>
      <w:r w:rsidR="00C00912">
        <w:rPr>
          <w:rFonts w:cs="Arial"/>
          <w:b/>
          <w:bCs/>
          <w:i/>
          <w:color w:val="262626"/>
          <w:szCs w:val="24"/>
        </w:rPr>
        <w:t xml:space="preserve"> 2014 </w:t>
      </w:r>
    </w:p>
    <w:p w:rsidR="0070366A" w:rsidRPr="00A552ED" w:rsidRDefault="00C00912" w:rsidP="0070366A">
      <w:pPr>
        <w:autoSpaceDE w:val="0"/>
        <w:autoSpaceDN w:val="0"/>
        <w:adjustRightInd w:val="0"/>
        <w:jc w:val="center"/>
        <w:rPr>
          <w:rFonts w:cs="Arial"/>
          <w:i/>
          <w:color w:val="262626"/>
          <w:szCs w:val="24"/>
        </w:rPr>
      </w:pPr>
      <w:r>
        <w:rPr>
          <w:rFonts w:cs="Arial"/>
          <w:b/>
          <w:bCs/>
          <w:i/>
          <w:color w:val="262626"/>
          <w:szCs w:val="24"/>
        </w:rPr>
        <w:t>(</w:t>
      </w:r>
      <w:r w:rsidR="00E85E70">
        <w:rPr>
          <w:rFonts w:cs="Arial"/>
          <w:b/>
          <w:bCs/>
          <w:i/>
          <w:color w:val="262626"/>
          <w:szCs w:val="24"/>
        </w:rPr>
        <w:t>August 4 – November 22, 2014</w:t>
      </w:r>
      <w:r>
        <w:rPr>
          <w:rFonts w:cs="Arial"/>
          <w:b/>
          <w:bCs/>
          <w:i/>
          <w:color w:val="262626"/>
          <w:szCs w:val="24"/>
        </w:rPr>
        <w:t>)</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rsidTr="008C48C1">
        <w:trPr>
          <w:cantSplit/>
        </w:trPr>
        <w:tc>
          <w:tcPr>
            <w:tcW w:w="1620" w:type="dxa"/>
          </w:tcPr>
          <w:p w:rsidR="0070366A" w:rsidRDefault="0070366A" w:rsidP="0070366A">
            <w:pPr>
              <w:tabs>
                <w:tab w:val="left" w:pos="1620"/>
              </w:tabs>
              <w:rPr>
                <w:rFonts w:cs="Arial"/>
                <w:b/>
                <w:bCs/>
              </w:rPr>
            </w:pPr>
            <w:r w:rsidRPr="00587029">
              <w:rPr>
                <w:rFonts w:cs="Arial"/>
                <w:b/>
                <w:bCs/>
              </w:rPr>
              <w:t>Instructor:</w:t>
            </w:r>
            <w:r>
              <w:rPr>
                <w:rFonts w:cs="Arial"/>
                <w:b/>
                <w:bCs/>
              </w:rPr>
              <w:t xml:space="preserve"> </w:t>
            </w:r>
            <w:r w:rsidR="00D11B19">
              <w:rPr>
                <w:rFonts w:cs="Arial"/>
                <w:b/>
                <w:bCs/>
              </w:rPr>
              <w:t xml:space="preserve">  </w:t>
            </w:r>
          </w:p>
          <w:p w:rsidR="00D11B19" w:rsidRPr="00732BC7" w:rsidRDefault="00D11B19" w:rsidP="0070366A">
            <w:pPr>
              <w:tabs>
                <w:tab w:val="left" w:pos="1620"/>
              </w:tabs>
              <w:rPr>
                <w:rFonts w:cs="Arial"/>
                <w:bCs/>
              </w:rPr>
            </w:pPr>
          </w:p>
        </w:tc>
        <w:tc>
          <w:tcPr>
            <w:tcW w:w="8388" w:type="dxa"/>
            <w:gridSpan w:val="3"/>
          </w:tcPr>
          <w:p w:rsidR="0070366A" w:rsidRPr="00587029" w:rsidRDefault="008C48C1" w:rsidP="0070366A">
            <w:pPr>
              <w:tabs>
                <w:tab w:val="left" w:pos="1620"/>
              </w:tabs>
              <w:rPr>
                <w:rFonts w:cs="Arial"/>
                <w:bCs/>
              </w:rPr>
            </w:pPr>
            <w:r>
              <w:rPr>
                <w:rFonts w:cs="Arial"/>
                <w:bCs/>
              </w:rPr>
              <w:t>June Wiley, PhD, MSW</w:t>
            </w:r>
          </w:p>
        </w:tc>
      </w:tr>
      <w:tr w:rsidR="0070366A" w:rsidRPr="00587029" w:rsidTr="008C48C1">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8C48C1" w:rsidP="0070366A">
            <w:pPr>
              <w:tabs>
                <w:tab w:val="left" w:pos="1620"/>
              </w:tabs>
              <w:rPr>
                <w:rFonts w:cs="Arial"/>
                <w:bCs/>
              </w:rPr>
            </w:pPr>
            <w:hyperlink r:id="rId8" w:history="1">
              <w:r w:rsidRPr="00794295">
                <w:rPr>
                  <w:rStyle w:val="Hyperlink"/>
                  <w:rFonts w:cs="Arial"/>
                  <w:bCs/>
                </w:rPr>
                <w:t>june.wiley@usc.edu</w:t>
              </w:r>
            </w:hyperlink>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8C48C1" w:rsidP="00832D82">
            <w:pPr>
              <w:tabs>
                <w:tab w:val="left" w:pos="1620"/>
              </w:tabs>
              <w:rPr>
                <w:rFonts w:cs="Arial"/>
                <w:bCs/>
              </w:rPr>
            </w:pPr>
            <w:r>
              <w:rPr>
                <w:rFonts w:cs="Arial"/>
                <w:bCs/>
              </w:rPr>
              <w:t>Thursday</w:t>
            </w:r>
          </w:p>
        </w:tc>
      </w:tr>
      <w:tr w:rsidR="0070366A" w:rsidRPr="00587029" w:rsidTr="008C48C1">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r w:rsidR="00D11B19">
              <w:rPr>
                <w:rFonts w:cs="Arial"/>
                <w:b/>
                <w:bCs/>
              </w:rPr>
              <w:t xml:space="preserve">  </w:t>
            </w:r>
          </w:p>
        </w:tc>
        <w:tc>
          <w:tcPr>
            <w:tcW w:w="3168" w:type="dxa"/>
          </w:tcPr>
          <w:p w:rsidR="0070366A" w:rsidRPr="00587029" w:rsidRDefault="00832D82" w:rsidP="003559E3">
            <w:pPr>
              <w:tabs>
                <w:tab w:val="left" w:pos="1620"/>
              </w:tabs>
              <w:rPr>
                <w:rFonts w:cs="Arial"/>
                <w:bCs/>
              </w:rPr>
            </w:pPr>
            <w:r>
              <w:rPr>
                <w:rFonts w:cs="Arial"/>
                <w:bCs/>
              </w:rPr>
              <w:t xml:space="preserve"> </w:t>
            </w:r>
            <w:r w:rsidR="008C48C1">
              <w:rPr>
                <w:rFonts w:cs="Arial"/>
                <w:bCs/>
              </w:rPr>
              <w:t>213-821-0901</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8C48C1" w:rsidP="0070366A">
            <w:pPr>
              <w:tabs>
                <w:tab w:val="left" w:pos="1620"/>
              </w:tabs>
              <w:rPr>
                <w:rFonts w:cs="Arial"/>
                <w:bCs/>
              </w:rPr>
            </w:pPr>
            <w:r>
              <w:rPr>
                <w:rFonts w:cs="Arial"/>
                <w:bCs/>
              </w:rPr>
              <w:t>67018=1:30-2:45 p.m.(PT); 67109=3:15 - 4:30 p.m.(PT)</w:t>
            </w:r>
          </w:p>
        </w:tc>
      </w:tr>
      <w:tr w:rsidR="0070366A" w:rsidRPr="00587029" w:rsidTr="008C48C1">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8C48C1" w:rsidP="00832D82">
            <w:pPr>
              <w:tabs>
                <w:tab w:val="left" w:pos="1620"/>
              </w:tabs>
              <w:rPr>
                <w:rFonts w:cs="Arial"/>
                <w:bCs/>
              </w:rPr>
            </w:pPr>
            <w:r>
              <w:rPr>
                <w:rFonts w:cs="Arial"/>
                <w:bCs/>
              </w:rPr>
              <w:t>AT &amp; T Building, Ste. T-300, LA, CA</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8C48C1" w:rsidP="008C48C1">
            <w:pPr>
              <w:tabs>
                <w:tab w:val="left" w:pos="1620"/>
              </w:tabs>
              <w:rPr>
                <w:rFonts w:cs="Arial"/>
                <w:bCs/>
              </w:rPr>
            </w:pPr>
            <w:r>
              <w:rPr>
                <w:rFonts w:cs="Arial"/>
                <w:bCs/>
              </w:rPr>
              <w:t>Virtual Academic Center (access via computer)</w:t>
            </w:r>
          </w:p>
        </w:tc>
      </w:tr>
      <w:tr w:rsidR="0070366A" w:rsidRPr="00587029" w:rsidTr="008C48C1">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8C48C1" w:rsidP="004D30FF">
            <w:pPr>
              <w:tabs>
                <w:tab w:val="left" w:pos="1620"/>
              </w:tabs>
              <w:rPr>
                <w:rFonts w:cs="Arial"/>
                <w:bCs/>
              </w:rPr>
            </w:pPr>
            <w:r>
              <w:rPr>
                <w:rFonts w:cs="Arial"/>
                <w:bCs/>
              </w:rPr>
              <w:t>Upon request, appointment</w:t>
            </w:r>
            <w:r w:rsidR="000531A3">
              <w:rPr>
                <w:rFonts w:cs="Arial"/>
                <w:bCs/>
              </w:rPr>
              <w:t xml:space="preserve">s </w:t>
            </w:r>
            <w:r>
              <w:rPr>
                <w:rFonts w:cs="Arial"/>
                <w:bCs/>
              </w:rPr>
              <w:t>are scheduled</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lastRenderedPageBreak/>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042"/>
        <w:gridCol w:w="1768"/>
        <w:gridCol w:w="1530"/>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E85E70">
            <w:pPr>
              <w:ind w:left="1530" w:hanging="1530"/>
              <w:rPr>
                <w:rFonts w:cs="Arial"/>
                <w:b/>
                <w:bCs/>
              </w:rPr>
            </w:pPr>
            <w:r>
              <w:rPr>
                <w:rFonts w:cs="Arial"/>
                <w:b/>
                <w:bCs/>
              </w:rPr>
              <w:t xml:space="preserve">Assignment 1: </w:t>
            </w:r>
            <w:r>
              <w:rPr>
                <w:rFonts w:cs="Arial"/>
                <w:b/>
                <w:bCs/>
              </w:rPr>
              <w:tab/>
            </w:r>
            <w:r w:rsidR="00E85E70">
              <w:rPr>
                <w:rFonts w:cs="Arial"/>
                <w:b/>
                <w:bCs/>
              </w:rPr>
              <w:t>Article Critique</w:t>
            </w:r>
          </w:p>
        </w:tc>
        <w:tc>
          <w:tcPr>
            <w:tcW w:w="1793" w:type="dxa"/>
            <w:tcBorders>
              <w:top w:val="single" w:sz="8" w:space="0" w:color="C0504D"/>
              <w:bottom w:val="single" w:sz="8" w:space="0" w:color="C0504D"/>
            </w:tcBorders>
          </w:tcPr>
          <w:p w:rsidR="0070366A" w:rsidRPr="00077933" w:rsidRDefault="00187BB4" w:rsidP="0070366A">
            <w:pPr>
              <w:jc w:val="center"/>
              <w:rPr>
                <w:rFonts w:cs="Arial"/>
              </w:rPr>
            </w:pPr>
            <w:r>
              <w:rPr>
                <w:rFonts w:cs="Arial"/>
              </w:rPr>
              <w:t>Unit 4</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2</w:t>
            </w:r>
            <w:r w:rsidR="00C831A5">
              <w:rPr>
                <w:rFonts w:cs="Arial"/>
              </w:rPr>
              <w:t>5</w:t>
            </w:r>
            <w:r w:rsidR="0070366A" w:rsidRPr="005B1F73">
              <w:rPr>
                <w:rFonts w:cs="Arial"/>
              </w:rPr>
              <w:t>%</w:t>
            </w:r>
          </w:p>
        </w:tc>
      </w:tr>
      <w:tr w:rsidR="0070366A" w:rsidRPr="00CF6842">
        <w:trPr>
          <w:cantSplit/>
        </w:trPr>
        <w:tc>
          <w:tcPr>
            <w:tcW w:w="6138" w:type="dxa"/>
          </w:tcPr>
          <w:p w:rsidR="0070366A" w:rsidRPr="00A53A4B" w:rsidRDefault="009B5662" w:rsidP="00187BB4">
            <w:pPr>
              <w:ind w:left="1530" w:hanging="1530"/>
              <w:rPr>
                <w:rFonts w:cs="Arial"/>
                <w:b/>
                <w:bCs/>
                <w:color w:val="FF0000"/>
              </w:rPr>
            </w:pPr>
            <w:r>
              <w:rPr>
                <w:rFonts w:cs="Arial"/>
                <w:b/>
                <w:bCs/>
              </w:rPr>
              <w:t>Assignment 2:</w:t>
            </w:r>
            <w:r>
              <w:rPr>
                <w:rFonts w:cs="Arial"/>
                <w:b/>
                <w:bCs/>
              </w:rPr>
              <w:tab/>
            </w:r>
            <w:r w:rsidR="00187BB4">
              <w:rPr>
                <w:rFonts w:cs="Arial"/>
                <w:b/>
                <w:bCs/>
              </w:rPr>
              <w:t>Midterm Examination</w:t>
            </w:r>
            <w:r w:rsidR="0088034B">
              <w:rPr>
                <w:rFonts w:cs="Arial"/>
                <w:b/>
                <w:bCs/>
              </w:rPr>
              <w:t xml:space="preserve"> </w:t>
            </w:r>
          </w:p>
        </w:tc>
        <w:tc>
          <w:tcPr>
            <w:tcW w:w="1793" w:type="dxa"/>
          </w:tcPr>
          <w:p w:rsidR="0070366A" w:rsidRPr="00077933" w:rsidRDefault="00187BB4" w:rsidP="00077933">
            <w:pPr>
              <w:jc w:val="center"/>
              <w:rPr>
                <w:rFonts w:cs="Arial"/>
              </w:rPr>
            </w:pPr>
            <w:r>
              <w:rPr>
                <w:rFonts w:cs="Arial"/>
              </w:rPr>
              <w:t>Unit 9</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187BB4">
            <w:pPr>
              <w:ind w:left="1530" w:hanging="1530"/>
              <w:rPr>
                <w:rFonts w:cs="Arial"/>
                <w:b/>
                <w:bCs/>
              </w:rPr>
            </w:pPr>
            <w:r>
              <w:rPr>
                <w:rFonts w:cs="Arial"/>
                <w:b/>
                <w:bCs/>
              </w:rPr>
              <w:t>Assignment 3:</w:t>
            </w:r>
            <w:r>
              <w:rPr>
                <w:rFonts w:cs="Arial"/>
                <w:b/>
                <w:bCs/>
              </w:rPr>
              <w:tab/>
              <w:t xml:space="preserve">Final </w:t>
            </w:r>
            <w:r w:rsidR="00187BB4">
              <w:rPr>
                <w:rFonts w:cs="Arial"/>
                <w:b/>
                <w:bCs/>
              </w:rPr>
              <w:t>Paper</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r w:rsidR="00187BB4">
              <w:rPr>
                <w:rFonts w:cs="Arial"/>
              </w:rPr>
              <w:t>Unit 15</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3</w:t>
            </w:r>
            <w:r w:rsidR="00C831A5">
              <w:rPr>
                <w:rFonts w:cs="Arial"/>
              </w:rPr>
              <w:t>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2129A6" w:rsidRPr="00E85E70" w:rsidRDefault="0070366A" w:rsidP="00E85E70">
      <w:pPr>
        <w:pStyle w:val="BodyText"/>
        <w:spacing w:before="120"/>
      </w:pPr>
      <w:r w:rsidRPr="000E18E4">
        <w:t>Each of the major assignments is described below.</w:t>
      </w:r>
    </w:p>
    <w:p w:rsidR="00E85E70" w:rsidRPr="0041727E" w:rsidRDefault="00E85E70" w:rsidP="00E85E70">
      <w:pPr>
        <w:pStyle w:val="Heading2"/>
        <w:spacing w:after="0"/>
      </w:pPr>
      <w:r w:rsidRPr="005B1F73">
        <w:t xml:space="preserve">Assignment 1: </w:t>
      </w:r>
      <w:r w:rsidR="00C20928">
        <w:t xml:space="preserve">Article </w:t>
      </w:r>
      <w:r w:rsidRPr="005B1F73">
        <w:t xml:space="preserve">Critique </w:t>
      </w:r>
      <w:r>
        <w:t>(25% of course grade)</w:t>
      </w:r>
    </w:p>
    <w:p w:rsidR="00E85E70" w:rsidRPr="005B1F73" w:rsidRDefault="00E85E70" w:rsidP="00E85E70">
      <w:pPr>
        <w:pStyle w:val="BodyText"/>
        <w:spacing w:after="0"/>
      </w:pPr>
      <w:r>
        <w:t xml:space="preserve">In this assignment students </w:t>
      </w:r>
      <w:r w:rsidRPr="005B1F73">
        <w:t xml:space="preserve">are asked to prepare a theoretical critique of </w:t>
      </w:r>
      <w:r>
        <w:t xml:space="preserve">an </w:t>
      </w:r>
      <w:r w:rsidR="00C20928">
        <w:t xml:space="preserve">assigned </w:t>
      </w:r>
      <w:r>
        <w:t>article. Assignment guidelines</w:t>
      </w:r>
      <w:r w:rsidRPr="005B1F73">
        <w:t xml:space="preserve"> will be </w:t>
      </w:r>
      <w:r>
        <w:t>provided during</w:t>
      </w:r>
      <w:r w:rsidRPr="005B1F73">
        <w:t xml:space="preserve"> </w:t>
      </w:r>
      <w:r>
        <w:t xml:space="preserve">the </w:t>
      </w:r>
      <w:r w:rsidRPr="005B1F73">
        <w:t xml:space="preserve">Unit 1 </w:t>
      </w:r>
      <w:r>
        <w:t>live class session</w:t>
      </w:r>
      <w:r w:rsidRPr="005B1F73">
        <w:t>.</w:t>
      </w:r>
    </w:p>
    <w:p w:rsidR="00E85E70" w:rsidRDefault="00E85E70" w:rsidP="00E85E70">
      <w:pPr>
        <w:pStyle w:val="BodyText"/>
        <w:spacing w:after="0"/>
        <w:rPr>
          <w:b/>
          <w:szCs w:val="20"/>
        </w:rPr>
      </w:pPr>
    </w:p>
    <w:p w:rsidR="000531A3" w:rsidRDefault="00E85E70" w:rsidP="00E85E70">
      <w:pPr>
        <w:pStyle w:val="BodyText"/>
        <w:spacing w:after="0"/>
        <w:rPr>
          <w:b/>
          <w:bCs/>
          <w:lang w:val="en-US"/>
        </w:rPr>
      </w:pPr>
      <w:r>
        <w:rPr>
          <w:b/>
          <w:szCs w:val="20"/>
        </w:rPr>
        <w:t xml:space="preserve">Due by </w:t>
      </w:r>
      <w:r w:rsidRPr="00D46D1F">
        <w:rPr>
          <w:b/>
          <w:bCs/>
        </w:rPr>
        <w:t xml:space="preserve">11:59pm PST on the day of </w:t>
      </w:r>
      <w:r>
        <w:rPr>
          <w:b/>
          <w:bCs/>
        </w:rPr>
        <w:t>the Unit 4 live class session</w:t>
      </w:r>
      <w:r w:rsidR="000531A3">
        <w:rPr>
          <w:b/>
          <w:bCs/>
        </w:rPr>
        <w:t xml:space="preserve">; </w:t>
      </w:r>
      <w:r w:rsidR="000531A3" w:rsidRPr="000531A3">
        <w:rPr>
          <w:b/>
          <w:bCs/>
          <w:highlight w:val="green"/>
        </w:rPr>
        <w:t xml:space="preserve">DUE:  </w:t>
      </w:r>
      <w:r w:rsidR="000531A3" w:rsidRPr="000531A3">
        <w:rPr>
          <w:b/>
          <w:bCs/>
          <w:highlight w:val="green"/>
          <w:lang w:val="en-US"/>
        </w:rPr>
        <w:t>Thurs., Aug. 28, 2014</w:t>
      </w:r>
      <w:r w:rsidR="000531A3">
        <w:rPr>
          <w:b/>
          <w:bCs/>
          <w:lang w:val="en-US"/>
        </w:rPr>
        <w:t xml:space="preserve">, </w:t>
      </w:r>
    </w:p>
    <w:p w:rsidR="00E85E70" w:rsidRPr="000531A3" w:rsidRDefault="000531A3" w:rsidP="00E85E70">
      <w:pPr>
        <w:pStyle w:val="BodyText"/>
        <w:spacing w:after="0"/>
        <w:rPr>
          <w:szCs w:val="20"/>
          <w:lang w:val="en-US"/>
        </w:rPr>
      </w:pPr>
      <w:r w:rsidRPr="000531A3">
        <w:rPr>
          <w:b/>
          <w:bCs/>
          <w:highlight w:val="green"/>
          <w:lang w:val="en-US"/>
        </w:rPr>
        <w:t>11:59 p.m. (PT)</w:t>
      </w:r>
      <w:r>
        <w:rPr>
          <w:b/>
          <w:bCs/>
          <w:lang w:val="en-US"/>
        </w:rPr>
        <w:t xml:space="preserve"> </w:t>
      </w:r>
    </w:p>
    <w:p w:rsidR="00E85E70" w:rsidRDefault="00E85E70" w:rsidP="00E85E70">
      <w:pPr>
        <w:pStyle w:val="BodyText"/>
        <w:spacing w:after="0"/>
        <w:rPr>
          <w:i/>
        </w:rPr>
      </w:pPr>
      <w:r w:rsidRPr="005B1F73">
        <w:rPr>
          <w:i/>
        </w:rPr>
        <w:t>This assignment relates to student learning outcomes 1-6 and 11-18.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Assignment 2: Midterm Exam</w:t>
      </w:r>
      <w:r>
        <w:t xml:space="preserve"> (30% of course grade)</w:t>
      </w:r>
    </w:p>
    <w:p w:rsidR="00E85E70" w:rsidRPr="005B1F73" w:rsidRDefault="00E85E70" w:rsidP="00E85E70">
      <w:pPr>
        <w:pStyle w:val="BodyText"/>
        <w:spacing w:after="0"/>
      </w:pPr>
      <w:r w:rsidRPr="005B1F73">
        <w:t xml:space="preserve">The midterm exam </w:t>
      </w:r>
      <w:r>
        <w:t>is a</w:t>
      </w:r>
      <w:r w:rsidRPr="005B1F73">
        <w:t xml:space="preserve"> “take-home” exam</w:t>
      </w:r>
      <w:r>
        <w:t xml:space="preserve"> based on a case study.  It will be distributed Week 8 of the semester (ie, the exam will “go live” on the VAC in Week 8; it will be posted in the </w:t>
      </w:r>
      <w:r w:rsidRPr="00667BDB">
        <w:rPr>
          <w:i/>
        </w:rPr>
        <w:t>Exams, Assignments, and Grading</w:t>
      </w:r>
      <w:r>
        <w:t xml:space="preserve"> page under the </w:t>
      </w:r>
      <w:r w:rsidRPr="00667BDB">
        <w:rPr>
          <w:i/>
        </w:rPr>
        <w:t>Coursework</w:t>
      </w:r>
      <w:r>
        <w:t xml:space="preserve"> tab)</w:t>
      </w:r>
      <w:r w:rsidRPr="005B1F73">
        <w:t xml:space="preserve">, </w:t>
      </w:r>
      <w:r>
        <w:t>and will be due</w:t>
      </w:r>
      <w:r w:rsidRPr="005B1F73">
        <w:t xml:space="preserve"> one </w:t>
      </w:r>
      <w:r>
        <w:t>week later during Week 9</w:t>
      </w:r>
      <w:r w:rsidRPr="005B1F73">
        <w:t>.</w:t>
      </w:r>
      <w:r>
        <w:t xml:space="preserve">  </w:t>
      </w:r>
      <w:r w:rsidRPr="005B1F73">
        <w:t>The exam content will focus on theories and class content covere</w:t>
      </w:r>
      <w:r>
        <w:t>d on the syllabus through Unit 7</w:t>
      </w:r>
      <w:r w:rsidRPr="005B1F73">
        <w:t>, and will emphasize the critical analysis, comparison and application of theories.</w:t>
      </w:r>
    </w:p>
    <w:p w:rsidR="00E85E70" w:rsidRDefault="00E85E70" w:rsidP="00E85E70">
      <w:pPr>
        <w:pStyle w:val="BodyText"/>
        <w:spacing w:after="0"/>
        <w:rPr>
          <w:b/>
          <w:szCs w:val="20"/>
        </w:rPr>
      </w:pPr>
    </w:p>
    <w:p w:rsidR="00E85E70" w:rsidRDefault="00E85E70" w:rsidP="00E85E70">
      <w:pPr>
        <w:pStyle w:val="BodyText"/>
        <w:spacing w:after="0"/>
        <w:rPr>
          <w:b/>
          <w:szCs w:val="20"/>
        </w:rPr>
      </w:pPr>
      <w:r>
        <w:rPr>
          <w:b/>
          <w:szCs w:val="20"/>
        </w:rPr>
        <w:t>Due Week 9 - Given the nature of the assignment, all sections will gain access to the exam at the same time during Week 8.  Exams for all sections will be due at the same time during Week 9 (specific day and time of submission to be announced).</w:t>
      </w:r>
    </w:p>
    <w:p w:rsidR="00E85E70" w:rsidRDefault="00E85E70" w:rsidP="00E85E70">
      <w:pPr>
        <w:pStyle w:val="BodyText"/>
        <w:spacing w:after="0"/>
        <w:rPr>
          <w:i/>
        </w:rPr>
      </w:pPr>
      <w:r w:rsidRPr="005B1F73">
        <w:rPr>
          <w:i/>
        </w:rPr>
        <w:t>This assignment relates to student learning outcomes 7-18.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 xml:space="preserve">Assignment 3: Final Paper  </w:t>
      </w:r>
      <w:r>
        <w:t>(35% of course grade)</w:t>
      </w:r>
    </w:p>
    <w:p w:rsidR="00E85E70" w:rsidRPr="005B1F73" w:rsidRDefault="00E85E70" w:rsidP="00E85E70">
      <w:pPr>
        <w:pStyle w:val="BodyText"/>
        <w:spacing w:after="0"/>
      </w:pPr>
      <w:r w:rsidRPr="005B1F73">
        <w:t xml:space="preserve">The final paper assignment details will be provided during </w:t>
      </w:r>
      <w:r>
        <w:t xml:space="preserve">the </w:t>
      </w:r>
      <w:r w:rsidRPr="005B1F73">
        <w:t xml:space="preserve">Unit </w:t>
      </w:r>
      <w:r>
        <w:t>9 live class session</w:t>
      </w:r>
      <w:r w:rsidRPr="005B1F73">
        <w:t>. The paper will emphasize the critical analysis and application of theories covered through Unit 14</w:t>
      </w:r>
      <w:r>
        <w:t xml:space="preserve"> to a case study</w:t>
      </w:r>
      <w:r w:rsidRPr="005B1F73">
        <w:t xml:space="preserve">.  </w:t>
      </w:r>
    </w:p>
    <w:p w:rsidR="00E85E70" w:rsidRDefault="00E85E70" w:rsidP="00E85E70">
      <w:pPr>
        <w:pStyle w:val="BodyText"/>
        <w:spacing w:after="0"/>
        <w:rPr>
          <w:b/>
          <w:szCs w:val="20"/>
        </w:rPr>
      </w:pPr>
    </w:p>
    <w:p w:rsidR="00E85E70" w:rsidRPr="000531A3" w:rsidRDefault="00E85E70" w:rsidP="00E85E70">
      <w:pPr>
        <w:pStyle w:val="BodyText"/>
        <w:spacing w:after="0"/>
        <w:rPr>
          <w:b/>
          <w:bCs/>
          <w:highlight w:val="green"/>
          <w:lang w:val="en-US"/>
        </w:rPr>
      </w:pPr>
      <w:r>
        <w:rPr>
          <w:b/>
          <w:szCs w:val="20"/>
        </w:rPr>
        <w:t xml:space="preserve">Due by </w:t>
      </w:r>
      <w:r w:rsidRPr="00D46D1F">
        <w:rPr>
          <w:b/>
          <w:bCs/>
        </w:rPr>
        <w:t xml:space="preserve">11:59pm PST on the day of </w:t>
      </w:r>
      <w:r>
        <w:rPr>
          <w:b/>
          <w:bCs/>
        </w:rPr>
        <w:t>the Unit 15 live class session</w:t>
      </w:r>
      <w:r w:rsidR="000531A3">
        <w:rPr>
          <w:b/>
          <w:bCs/>
        </w:rPr>
        <w:t xml:space="preserve">; </w:t>
      </w:r>
      <w:r w:rsidR="000531A3" w:rsidRPr="000531A3">
        <w:rPr>
          <w:b/>
          <w:bCs/>
          <w:highlight w:val="green"/>
        </w:rPr>
        <w:t>DUE:  Thur</w:t>
      </w:r>
      <w:r w:rsidR="000531A3" w:rsidRPr="000531A3">
        <w:rPr>
          <w:b/>
          <w:bCs/>
          <w:highlight w:val="green"/>
          <w:lang w:val="en-US"/>
        </w:rPr>
        <w:t>s., Nov. 20, 2014,</w:t>
      </w:r>
    </w:p>
    <w:p w:rsidR="000531A3" w:rsidRPr="000531A3" w:rsidRDefault="000531A3" w:rsidP="00E85E70">
      <w:pPr>
        <w:pStyle w:val="BodyText"/>
        <w:spacing w:after="0"/>
        <w:rPr>
          <w:b/>
          <w:bCs/>
          <w:lang w:val="en-US"/>
        </w:rPr>
      </w:pPr>
      <w:r w:rsidRPr="000531A3">
        <w:rPr>
          <w:b/>
          <w:bCs/>
          <w:highlight w:val="green"/>
          <w:lang w:val="en-US"/>
        </w:rPr>
        <w:t>11:59 p.m. (PT)</w:t>
      </w:r>
    </w:p>
    <w:p w:rsidR="00E85E70" w:rsidRPr="005B1F73" w:rsidRDefault="00E85E70" w:rsidP="00E85E70">
      <w:pPr>
        <w:pStyle w:val="BodyText"/>
        <w:spacing w:after="0"/>
        <w:rPr>
          <w:i/>
        </w:rPr>
      </w:pPr>
      <w:r w:rsidRPr="005B1F73">
        <w:rPr>
          <w:i/>
        </w:rPr>
        <w:t>This assignment relates to student learning outcomes 11-18.</w:t>
      </w:r>
    </w:p>
    <w:p w:rsidR="00E85E70" w:rsidRDefault="00E85E70" w:rsidP="00E85E70">
      <w:pPr>
        <w:pStyle w:val="Heading2"/>
      </w:pPr>
    </w:p>
    <w:p w:rsidR="00E85E70" w:rsidRPr="005B1F73" w:rsidRDefault="00E85E70" w:rsidP="00E85E70">
      <w:pPr>
        <w:pStyle w:val="Heading2"/>
        <w:spacing w:after="0"/>
      </w:pPr>
      <w:r w:rsidRPr="005B1F73">
        <w:t>Class Participation (10% of Course Grade)</w:t>
      </w:r>
    </w:p>
    <w:p w:rsidR="002129A6" w:rsidRDefault="00E85E70" w:rsidP="00E85E70">
      <w:pPr>
        <w:pStyle w:val="BodyText"/>
        <w:rPr>
          <w:color w:val="000000"/>
          <w:lang w:val="en-US"/>
        </w:rPr>
      </w:pPr>
      <w:r w:rsidRPr="005B1F73">
        <w:t>Your involvement in this class is considered essential to your growth as a practitioner. Your presence in class along with preparation by having read and considered the assignments, and participation in discussion and activities are essential.</w:t>
      </w: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r>
        <w:t xml:space="preserve">Berzoff,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Rowman &amp; Littlefield Publishers.</w:t>
      </w:r>
    </w:p>
    <w:p w:rsidR="00B01328" w:rsidRDefault="0070366A" w:rsidP="00B01328">
      <w:pPr>
        <w:pStyle w:val="Bib"/>
      </w:pPr>
      <w:r w:rsidRPr="00CF6842">
        <w:t>Robbins, S.</w:t>
      </w:r>
      <w:r>
        <w:t xml:space="preserve"> </w:t>
      </w:r>
      <w:r w:rsidRPr="00CF6842">
        <w:t>P., Cha</w:t>
      </w:r>
      <w:r>
        <w:t>tterjee, P., &amp; Canda,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Default="00A57CEA" w:rsidP="00A57CEA">
      <w:pPr>
        <w:rPr>
          <w:lang w:eastAsia="x-none"/>
        </w:rPr>
      </w:pPr>
      <w:r>
        <w:rPr>
          <w:i/>
          <w:lang w:eastAsia="x-none"/>
        </w:rPr>
        <w:t xml:space="preserve">       </w:t>
      </w:r>
      <w:r>
        <w:rPr>
          <w:i/>
          <w:lang w:eastAsia="x-none"/>
        </w:rPr>
        <w:tab/>
        <w:t>course.</w:t>
      </w:r>
      <w:r>
        <w:rPr>
          <w:lang w:eastAsia="x-none"/>
        </w:rP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 APA.</w:t>
      </w:r>
    </w:p>
    <w:p w:rsidR="0070366A" w:rsidRPr="00D83B48" w:rsidRDefault="0070366A" w:rsidP="0070366A">
      <w:pPr>
        <w:pStyle w:val="Bib"/>
      </w:pPr>
      <w:r w:rsidRPr="00CF6842">
        <w:t>Szuchman, L. T.</w:t>
      </w:r>
      <w:r>
        <w:t>,</w:t>
      </w:r>
      <w:r w:rsidRPr="00CF6842">
        <w:t xml:space="preserve"> &amp; </w:t>
      </w:r>
      <w:r w:rsidR="00777EE5">
        <w:t>Thomlison,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d.). Belmont,CA</w:t>
      </w:r>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lastRenderedPageBreak/>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clecticism, person-in-environment, biopsychosocial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r w:rsidRPr="00BC25E4">
              <w:rPr>
                <w:szCs w:val="20"/>
                <w:lang w:val="en-US" w:eastAsia="en-US"/>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r w:rsidRPr="00187BB4">
              <w:rPr>
                <w:rFonts w:cs="Arial"/>
                <w:b/>
                <w:bCs/>
              </w:rPr>
              <w:t>Assignment 1</w:t>
            </w:r>
            <w:r w:rsidR="00187BB4">
              <w:rPr>
                <w:rFonts w:cs="Arial"/>
                <w:b/>
                <w:bCs/>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Modern Psychodynamic Theorie</w:t>
            </w:r>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rPr>
                <w:lang w:val="en-US"/>
              </w:rPr>
              <w:t>i</w:t>
            </w:r>
            <w:r w:rsidRPr="0070366A">
              <w:t>cott</w:t>
            </w:r>
            <w:r>
              <w:t>’s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r>
              <w:rPr>
                <w:lang w:val="en-US"/>
              </w:rPr>
              <w:t>Schore and Sroufe</w:t>
            </w:r>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187BB4" w:rsidRDefault="00715899" w:rsidP="0070366A">
            <w:pPr>
              <w:rPr>
                <w:rFonts w:cs="Arial"/>
                <w:b/>
              </w:rPr>
            </w:pPr>
            <w:r>
              <w:rPr>
                <w:rFonts w:cs="Arial"/>
              </w:rPr>
              <w:t xml:space="preserve">                 </w:t>
            </w:r>
            <w:r w:rsidR="00187BB4">
              <w:rPr>
                <w:rFonts w:cs="Arial"/>
                <w:b/>
              </w:rPr>
              <w:t>Midterm d</w:t>
            </w:r>
            <w:r w:rsidR="00187BB4" w:rsidRPr="00187BB4">
              <w:rPr>
                <w:rFonts w:cs="Arial"/>
                <w:b/>
              </w:rPr>
              <w:t>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rsidTr="00187BB4">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87BB4" w:rsidP="00187BB4">
            <w:pPr>
              <w:pStyle w:val="Level1"/>
              <w:rPr>
                <w:szCs w:val="20"/>
              </w:rPr>
            </w:pPr>
            <w:r w:rsidRPr="0070366A">
              <w:rPr>
                <w:szCs w:val="20"/>
              </w:rPr>
              <w:t>Course Wrap Up</w:t>
            </w:r>
          </w:p>
        </w:tc>
        <w:tc>
          <w:tcPr>
            <w:tcW w:w="2558" w:type="dxa"/>
            <w:tcBorders>
              <w:top w:val="single" w:sz="12" w:space="0" w:color="000000"/>
              <w:bottom w:val="single" w:sz="12" w:space="0" w:color="000000"/>
            </w:tcBorders>
            <w:shd w:val="clear" w:color="auto" w:fill="auto"/>
          </w:tcPr>
          <w:p w:rsidR="00187BB4" w:rsidRPr="00187BB4" w:rsidRDefault="00187BB4" w:rsidP="00187BB4">
            <w:pPr>
              <w:jc w:val="center"/>
              <w:rPr>
                <w:rFonts w:cs="Arial"/>
                <w:b/>
                <w:bCs/>
              </w:rPr>
            </w:pPr>
            <w:r w:rsidRPr="00187BB4">
              <w:rPr>
                <w:rFonts w:cs="Arial"/>
                <w:b/>
                <w:bCs/>
              </w:rPr>
              <w:t>Final Paper</w:t>
            </w:r>
            <w:r>
              <w:rPr>
                <w:rFonts w:cs="Arial"/>
                <w:b/>
                <w:bCs/>
              </w:rPr>
              <w:t xml:space="preserve"> due</w:t>
            </w:r>
          </w:p>
        </w:tc>
      </w:tr>
    </w:tbl>
    <w:p w:rsidR="0070366A" w:rsidRDefault="0070366A" w:rsidP="0070366A">
      <w:pPr>
        <w:rPr>
          <w:rFonts w:cs="Arial"/>
        </w:rPr>
      </w:pPr>
    </w:p>
    <w:p w:rsidR="009F07B7" w:rsidRPr="00D20FB5" w:rsidRDefault="009F07B7" w:rsidP="0070366A">
      <w:pPr>
        <w:rPr>
          <w:rFonts w:cs="Arial"/>
        </w:rPr>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person-in-environment, biopsychosocial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r>
        <w:rPr>
          <w:lang w:eastAsia="x-none"/>
        </w:rPr>
        <w:t xml:space="preserve">Cozolino, L. (2014). The developing brain.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r>
        <w:rPr>
          <w:lang w:eastAsia="x-none"/>
        </w:rPr>
        <w:t xml:space="preserve">Cozolino,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The assessment of complex adaptive systems. In </w:t>
      </w:r>
      <w:r>
        <w:rPr>
          <w:i/>
          <w:lang w:eastAsia="x-none"/>
        </w:rPr>
        <w:t xml:space="preserve">Complex systems and human behavior </w:t>
      </w:r>
      <w:r w:rsidRPr="004F2318">
        <w:rPr>
          <w:lang w:eastAsia="x-none"/>
        </w:rPr>
        <w:t xml:space="preserve">(pp. 3-45). </w:t>
      </w:r>
      <w:r w:rsidR="004F2318" w:rsidRPr="004F2318">
        <w:rPr>
          <w:lang w:eastAsia="x-none"/>
        </w:rPr>
        <w:t>Chicago, IL: Lyc</w:t>
      </w:r>
      <w:r w:rsidR="004F2318">
        <w:rPr>
          <w:lang w:eastAsia="x-none"/>
        </w:rPr>
        <w:t>eum Books.</w:t>
      </w:r>
    </w:p>
    <w:p w:rsidR="0070366A" w:rsidRDefault="0070366A" w:rsidP="0070366A">
      <w:pPr>
        <w:pStyle w:val="Bib"/>
      </w:pPr>
      <w:r w:rsidRPr="00CF6842">
        <w:t>NASW</w:t>
      </w:r>
      <w:r>
        <w:t xml:space="preserve">―National Association of Social Workers. (n.d.). </w:t>
      </w:r>
      <w:r w:rsidRPr="007D2B83">
        <w:rPr>
          <w:i/>
        </w:rPr>
        <w:t xml:space="preserve">Code of </w:t>
      </w:r>
      <w:r>
        <w:rPr>
          <w:i/>
        </w:rPr>
        <w:t>e</w:t>
      </w:r>
      <w:r w:rsidRPr="007D2B83">
        <w:rPr>
          <w:i/>
        </w:rPr>
        <w:t>thics</w:t>
      </w:r>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tterjee, P., &amp; Canda,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lastRenderedPageBreak/>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r>
        <w:rPr>
          <w:i/>
          <w:lang w:eastAsia="x-none"/>
        </w:rPr>
        <w:t xml:space="preserve">Neurobiology for clinical social work. </w:t>
      </w:r>
      <w:r>
        <w:rPr>
          <w:lang w:eastAsia="x-none"/>
        </w:rPr>
        <w:t xml:space="preserve">Chapter 1: The brain: An </w:t>
      </w:r>
    </w:p>
    <w:p w:rsidR="00A503D3" w:rsidRDefault="00A503D3" w:rsidP="00A503D3">
      <w:pPr>
        <w:rPr>
          <w:lang w:eastAsia="x-none"/>
        </w:rPr>
      </w:pPr>
      <w:r>
        <w:rPr>
          <w:lang w:eastAsia="x-none"/>
        </w:rPr>
        <w:t xml:space="preserve">             introductory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t>course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187BB4">
            <w:pPr>
              <w:pStyle w:val="Level1"/>
              <w:rPr>
                <w:lang w:val="en-US" w:eastAsia="en-US"/>
              </w:rPr>
            </w:pPr>
            <w:r>
              <w:rPr>
                <w:lang w:val="en-US"/>
              </w:rPr>
              <w:t xml:space="preserve">Video: </w:t>
            </w:r>
            <w:r>
              <w:t xml:space="preserve">Abby 33: Systems Theory </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r w:rsidRPr="00F62504">
        <w:rPr>
          <w:rFonts w:ascii="Arial" w:hAnsi="Arial" w:cs="Arial"/>
          <w:i/>
          <w:sz w:val="20"/>
          <w:szCs w:val="20"/>
        </w:rPr>
        <w:t>in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r w:rsidRPr="00F62504">
        <w:rPr>
          <w:rFonts w:ascii="Arial" w:hAnsi="Arial" w:cs="Arial"/>
          <w:sz w:val="20"/>
          <w:szCs w:val="20"/>
        </w:rPr>
        <w:t>doi: 10.1606/1044-3894.4054</w:t>
      </w:r>
    </w:p>
    <w:p w:rsidR="003E4602" w:rsidRDefault="003E4602" w:rsidP="003E4602"/>
    <w:p w:rsidR="0070366A" w:rsidRDefault="0070366A" w:rsidP="0070366A">
      <w:pPr>
        <w:pStyle w:val="Bib"/>
      </w:pPr>
      <w:r w:rsidRPr="00122E8B">
        <w:t>Robbins, S.</w:t>
      </w:r>
      <w:r>
        <w:t xml:space="preserve"> </w:t>
      </w:r>
      <w:r w:rsidRPr="00122E8B">
        <w:t>P., Cha</w:t>
      </w:r>
      <w:r>
        <w:t>tterjee, P., &amp; Canda,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r w:rsidR="0060772C">
        <w:rPr>
          <w:i/>
        </w:rPr>
        <w:t xml:space="preserve">Strengthening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t xml:space="preserve">course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70366A" w:rsidRPr="00187BB4" w:rsidRDefault="0060772C" w:rsidP="00187BB4">
            <w:pPr>
              <w:pStyle w:val="Level1"/>
              <w:rPr>
                <w:szCs w:val="20"/>
                <w:lang w:val="en-US" w:eastAsia="en-US"/>
              </w:rPr>
            </w:pPr>
            <w:r>
              <w:rPr>
                <w:szCs w:val="20"/>
                <w:lang w:val="en-US" w:eastAsia="en-US"/>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lastRenderedPageBreak/>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t xml:space="preserve"> </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tterjee, P., &amp; Canda,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r w:rsidRPr="00FA2668">
        <w:t xml:space="preserve">Ungar,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 xml:space="preserve">Hong, J.S., Cho, H. Allen-Meares, P., &amp; Espelage,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r>
              <w:rPr>
                <w:lang w:val="en-US" w:eastAsia="en-US"/>
              </w:rPr>
              <w:t>Biopsychosocial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187BB4">
            <w:pPr>
              <w:pStyle w:val="Level1"/>
              <w:rPr>
                <w:lang w:val="en-US" w:eastAsia="en-US"/>
              </w:rPr>
            </w:pPr>
            <w:r>
              <w:rPr>
                <w:lang w:val="en-US" w:eastAsia="en-US"/>
              </w:rP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0430EC" w:rsidRDefault="00FC1745" w:rsidP="0070366A">
      <w:pPr>
        <w:pStyle w:val="Heading3"/>
        <w:rPr>
          <w:lang w:val="en-US"/>
        </w:rPr>
      </w:pPr>
      <w:r>
        <w:rPr>
          <w:lang w:val="en-US"/>
        </w:rPr>
        <w:t xml:space="preserve">*Assignment 1 </w:t>
      </w:r>
      <w:r w:rsidR="000430EC">
        <w:rPr>
          <w:lang w:val="en-US"/>
        </w:rPr>
        <w:t>Due</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r w:rsidRPr="00FA4617">
        <w:t>Maschinot,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tterjee, P., &amp; Canda,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r w:rsidRPr="00FA4617">
        <w:lastRenderedPageBreak/>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t xml:space="preserve">course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r w:rsidRPr="00FA4617">
        <w:t>Reid, V. Dtahl, D. Striano, T. (2010). The presence or absence of older siblings and variation in infant goal-directed motor development. International Journal of Behavioral Development, 34, 325-329. doi:10.1177/0165025409337570.</w:t>
      </w:r>
    </w:p>
    <w:p w:rsidR="00CF2853" w:rsidRDefault="00CF2853" w:rsidP="00CF2853">
      <w:pPr>
        <w:pStyle w:val="Bib"/>
      </w:pPr>
      <w:r>
        <w:t xml:space="preserve">Sroufe, L. A., Egeland,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rPr>
                <w:lang w:val="en-US" w:eastAsia="en-US"/>
              </w:rPr>
            </w:pPr>
            <w:r>
              <w:t>Abby 33: Psychoanalytic Theory</w:t>
            </w:r>
            <w:r>
              <w:rPr>
                <w:lang w:val="en-US"/>
              </w:rPr>
              <w:t xml:space="preserve">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Pr="00376C61" w:rsidRDefault="00376C61" w:rsidP="00584245">
      <w:pPr>
        <w:pStyle w:val="Bib"/>
      </w:pPr>
      <w:r>
        <w:rPr>
          <w:lang w:eastAsia="x-none"/>
        </w:rPr>
        <w:t xml:space="preserve">Berzoff, J. (2011). Freud’s psychoanalytic concepts. </w:t>
      </w:r>
      <w:r>
        <w:rPr>
          <w:bCs/>
        </w:rPr>
        <w:t xml:space="preserve">In J. </w:t>
      </w:r>
      <w:r w:rsidRPr="00CF6842">
        <w:t>Berzoff,</w:t>
      </w:r>
      <w:r>
        <w:t xml:space="preserve">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CE262F" w:rsidRDefault="00CE262F" w:rsidP="0070366A">
      <w:pPr>
        <w:pStyle w:val="Bib"/>
      </w:pPr>
      <w:r>
        <w:t>Borden, W</w:t>
      </w:r>
      <w:r w:rsidR="00625CA2">
        <w:t xml:space="preserve">. (2009). </w:t>
      </w:r>
      <w:r w:rsidR="00376C61">
        <w:t xml:space="preserve">Orienting perspectives in contemporary psychodynamic  thought.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r>
        <w:t xml:space="preserve">Shamess, G. (2011). Structural theory. </w:t>
      </w:r>
      <w:r>
        <w:rPr>
          <w:bCs/>
        </w:rPr>
        <w:t xml:space="preserve">In J. </w:t>
      </w:r>
      <w:r w:rsidRPr="00CF6842">
        <w:t>Berzoff,</w:t>
      </w:r>
      <w:r>
        <w:t xml:space="preserve"> 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ambulatorium: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r>
        <w:t xml:space="preserve">Grimberg,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Polmear, C., &amp; Fabricus,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tterjee, P., &amp; Canda,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lastRenderedPageBreak/>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r w:rsidRPr="00864600">
        <w:rPr>
          <w:iCs/>
        </w:rPr>
        <w:t>doi:10.1007/s10615-006-0060-6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187BB4">
            <w:pPr>
              <w:pStyle w:val="Level1"/>
              <w:rPr>
                <w:lang w:val="en-US" w:eastAsia="en-US"/>
              </w:rPr>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r>
        <w:rPr>
          <w:lang w:eastAsia="x-none"/>
        </w:rPr>
        <w:t xml:space="preserve">Berzoff, J. (2011). Psychosocial ego development: The theory of Erik Erikson. </w:t>
      </w:r>
      <w:r>
        <w:rPr>
          <w:bCs/>
        </w:rPr>
        <w:t xml:space="preserve">In J. </w:t>
      </w:r>
      <w:r w:rsidRPr="00CF6842">
        <w:t>Berzoff,</w:t>
      </w:r>
      <w:r w:rsidR="00B131C7">
        <w:t xml:space="preserve"> </w:t>
      </w:r>
      <w:r>
        <w:t xml:space="preserve">L. M. </w:t>
      </w:r>
      <w:r w:rsidRPr="00CF6842">
        <w:t>Flanagan, &amp;</w:t>
      </w:r>
      <w:r w:rsidR="00B131C7">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r>
        <w:t xml:space="preserve">Edgcumbe,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r>
        <w:t>Schamess, G., &amp; Shilkret,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r w:rsidRPr="00CF6842">
        <w:t>Berzoff</w:t>
      </w:r>
      <w:r w:rsidR="00CF1010" w:rsidRPr="00CF6842">
        <w:t>,</w:t>
      </w:r>
      <w:r w:rsidR="00B131C7">
        <w:t xml:space="preserve"> </w:t>
      </w:r>
      <w:r w:rsidR="00D6014E">
        <w:t xml:space="preserve">L.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Okundaye,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tterjee, P., &amp; Canda,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r w:rsidRPr="0070366A">
              <w:rPr>
                <w:lang w:val="en-US" w:eastAsia="en-US"/>
              </w:rPr>
              <w:t>Winn</w:t>
            </w:r>
            <w:r w:rsidR="00C90A06">
              <w:rPr>
                <w:lang w:val="en-US" w:eastAsia="en-US"/>
              </w:rPr>
              <w:t>i</w:t>
            </w:r>
            <w:r w:rsidRPr="0070366A">
              <w:rPr>
                <w:lang w:val="en-US" w:eastAsia="en-US"/>
              </w:rPr>
              <w:t>cott</w:t>
            </w:r>
            <w:r w:rsidR="00E31008">
              <w:rPr>
                <w:lang w:val="en-US" w:eastAsia="en-US"/>
              </w:rPr>
              <w:t>’s nature and quality of attachment</w:t>
            </w:r>
          </w:p>
          <w:p w:rsidR="0070366A" w:rsidRPr="0070366A" w:rsidRDefault="002007EB" w:rsidP="00187BB4">
            <w:pPr>
              <w:pStyle w:val="Level1"/>
              <w:rPr>
                <w:lang w:val="en-US" w:eastAsia="en-US"/>
              </w:rPr>
            </w:pPr>
            <w:r>
              <w:t>Abby 33: Object Relations Theory</w:t>
            </w:r>
            <w:r>
              <w:rPr>
                <w:lang w:val="en-US"/>
              </w:rPr>
              <w:t xml:space="preserve"> </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Winnicott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r w:rsidR="003146E8">
        <w:t>Berzoff,</w:t>
      </w:r>
      <w:r w:rsidRPr="002864C1">
        <w:t xml:space="preserve"> </w:t>
      </w:r>
      <w:r w:rsidR="00224F31">
        <w:t xml:space="preserve">L. M. </w:t>
      </w:r>
      <w:r w:rsidR="003146E8">
        <w:t>Flanagan,</w:t>
      </w:r>
      <w:r w:rsidRPr="002864C1">
        <w:t xml:space="preserve"> &amp; </w:t>
      </w:r>
      <w:r w:rsidR="00224F31">
        <w:t xml:space="preserve"> P.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Robbins, S. P., Chatterjee, P., &amp; Canda,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r w:rsidRPr="002864C1">
        <w:t>Winn</w:t>
      </w:r>
      <w:r w:rsidR="00C90A06">
        <w:t>i</w:t>
      </w:r>
      <w:r w:rsidRPr="002864C1">
        <w:t>cott,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r w:rsidRPr="002864C1">
        <w:rPr>
          <w:sz w:val="22"/>
          <w:szCs w:val="22"/>
        </w:rPr>
        <w:t>doi: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r>
              <w:rPr>
                <w:lang w:val="en-US" w:eastAsia="en-US"/>
              </w:rPr>
              <w:t>Schore and Sroufe</w:t>
            </w:r>
          </w:p>
          <w:p w:rsidR="00330A45" w:rsidRPr="0070366A" w:rsidRDefault="002007EB" w:rsidP="00187BB4">
            <w:pPr>
              <w:pStyle w:val="Level1"/>
              <w:rPr>
                <w:lang w:val="en-US" w:eastAsia="en-US"/>
              </w:rPr>
            </w:pPr>
            <w:r>
              <w:t xml:space="preserve">Abby 33: Attachment Theory </w:t>
            </w:r>
          </w:p>
        </w:tc>
      </w:tr>
    </w:tbl>
    <w:p w:rsidR="002E0398" w:rsidRDefault="002E0398" w:rsidP="002E0398">
      <w:pPr>
        <w:pStyle w:val="BodyText"/>
      </w:pPr>
      <w:r>
        <w:t>This Unit relates to course objectives 1-5.</w:t>
      </w:r>
    </w:p>
    <w:p w:rsidR="00FC1745" w:rsidRPr="00FC1745" w:rsidRDefault="00FC1745" w:rsidP="002E0398">
      <w:pPr>
        <w:pStyle w:val="BodyText"/>
        <w:rPr>
          <w:b/>
          <w:lang w:val="en-US"/>
        </w:rPr>
      </w:pPr>
      <w:r>
        <w:rPr>
          <w:b/>
        </w:rPr>
        <w:t>*</w:t>
      </w:r>
      <w:r w:rsidRPr="00FC1745">
        <w:rPr>
          <w:b/>
        </w:rPr>
        <w:t>MIDTERM DISTRIBUTED</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r>
        <w:rPr>
          <w:rFonts w:cs="Arial"/>
          <w:color w:val="000000"/>
          <w:szCs w:val="20"/>
          <w:lang w:val="en-US" w:eastAsia="en-US"/>
        </w:rPr>
        <w:t>Brandell</w:t>
      </w:r>
      <w:r w:rsidR="007E1915">
        <w:rPr>
          <w:rFonts w:cs="Arial"/>
          <w:color w:val="000000"/>
          <w:szCs w:val="20"/>
          <w:lang w:val="en-US" w:eastAsia="en-US"/>
        </w:rPr>
        <w:t xml:space="preserve">, J.R., &amp; Ringel, S. (2007). </w:t>
      </w:r>
      <w:r w:rsidR="00D518BB">
        <w:rPr>
          <w:rFonts w:cs="Arial"/>
          <w:color w:val="000000"/>
          <w:szCs w:val="20"/>
          <w:lang w:val="en-US" w:eastAsia="en-US"/>
        </w:rPr>
        <w:t xml:space="preserve">Bowlby’s theory of attachment.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r>
        <w:rPr>
          <w:rFonts w:cs="Arial"/>
          <w:color w:val="000000"/>
          <w:szCs w:val="20"/>
          <w:lang w:val="en-US" w:eastAsia="en-US"/>
        </w:rPr>
        <w:t xml:space="preserve">Brandell, J.R., &amp; Ringel, S. (2007). </w:t>
      </w:r>
      <w:r w:rsidR="008A3488">
        <w:rPr>
          <w:rFonts w:cs="Arial"/>
          <w:color w:val="000000"/>
          <w:szCs w:val="20"/>
          <w:lang w:val="en-US" w:eastAsia="en-US"/>
        </w:rPr>
        <w:t xml:space="preserve">Research on attachment . 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r>
        <w:rPr>
          <w:lang w:val="en-US"/>
        </w:rPr>
        <w:t xml:space="preserve">Schore, A. (2012). Modern attachment theory: The central role of affect regulation in development and treatment. In </w:t>
      </w:r>
      <w:r>
        <w:rPr>
          <w:i/>
          <w:lang w:val="en-US"/>
        </w:rPr>
        <w:t xml:space="preserve">The science of the art of psychotherapy </w:t>
      </w:r>
      <w:r>
        <w:rPr>
          <w:lang w:val="en-US"/>
        </w:rPr>
        <w:t xml:space="preserve"> (pp.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The making and breaking of affectional bonds</w:t>
      </w:r>
      <w:r w:rsidRPr="00CF6842">
        <w:t xml:space="preserve"> (Lecture 7, pp. 126-160). London</w:t>
      </w:r>
      <w:r w:rsidR="005B3098">
        <w:t>, UK</w:t>
      </w:r>
      <w:r w:rsidRPr="00CF6842">
        <w:t>: Tavistock.</w:t>
      </w:r>
      <w:r>
        <w:t xml:space="preserve"> </w:t>
      </w:r>
    </w:p>
    <w:p w:rsidR="00330A45" w:rsidRDefault="00330A45" w:rsidP="00330A45">
      <w:pPr>
        <w:pStyle w:val="Bib"/>
      </w:pPr>
      <w:r w:rsidRPr="00CF6842">
        <w:t>Penza, K.</w:t>
      </w:r>
      <w:r>
        <w:t xml:space="preserve"> </w:t>
      </w:r>
      <w:r w:rsidRPr="00CF6842">
        <w:t>M., Heim, C., &amp; Nemeroff,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r>
        <w:t xml:space="preserve">Sroufe, L. A., Egeland,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FC1745" w:rsidRPr="00FC1745" w:rsidRDefault="00FC1745" w:rsidP="0070366A">
      <w:pPr>
        <w:pStyle w:val="BodyText"/>
        <w:rPr>
          <w:b/>
        </w:rPr>
      </w:pPr>
      <w:r>
        <w:rPr>
          <w:b/>
        </w:rPr>
        <w:t>*</w:t>
      </w:r>
      <w:r w:rsidRPr="00FC1745">
        <w:rPr>
          <w:b/>
        </w:rPr>
        <w:t>MIDTERM DUE</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r>
        <w:rPr>
          <w:lang w:eastAsia="x-none"/>
        </w:rPr>
        <w:t xml:space="preserve">DePedro, K.M., </w:t>
      </w:r>
      <w:r w:rsidR="00D01A6E">
        <w:rPr>
          <w:lang w:eastAsia="x-none"/>
        </w:rPr>
        <w:t xml:space="preserve">Astor, R.A., Benbenishty, R., Estrada, J., Dejoie Smith, G.R., &amp; Esqueda,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r>
        <w:rPr>
          <w:lang w:eastAsia="x-none"/>
        </w:rPr>
        <w:t xml:space="preserve">Cozolino, L. (2014). Sociostasis: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r>
        <w:rPr>
          <w:i/>
          <w:lang w:eastAsia="x-none"/>
        </w:rPr>
        <w:t xml:space="preserve">New York Times. </w:t>
      </w:r>
    </w:p>
    <w:p w:rsidR="0009027E" w:rsidRPr="00496AE8" w:rsidRDefault="0009027E" w:rsidP="0059224D">
      <w:pPr>
        <w:spacing w:after="200"/>
        <w:ind w:left="720" w:hanging="720"/>
        <w:rPr>
          <w:lang w:eastAsia="x-none"/>
        </w:rPr>
      </w:pPr>
      <w:r>
        <w:rPr>
          <w:lang w:eastAsia="x-none"/>
        </w:rPr>
        <w:t xml:space="preserve">McCroskey, J., Pecora, P., Franke, T., Christie, C., &amp; Lorthridge, J. (2012). Can public child welfare help to prevent child maltreatment? Promising findings from Los Angeles. </w:t>
      </w:r>
      <w:r w:rsidR="00496AE8">
        <w:rPr>
          <w:i/>
          <w:lang w:eastAsia="x-none"/>
        </w:rPr>
        <w:t>Journal of Family Strengths, 12</w:t>
      </w:r>
      <w:r w:rsidR="00496AE8">
        <w:rPr>
          <w:lang w:eastAsia="x-none"/>
        </w:rPr>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r w:rsidRPr="00827269">
        <w:lastRenderedPageBreak/>
        <w:t xml:space="preserve">Sabol, T.J. &amp; Pianta, R.C. (2012). Patterns of school readiness forecast achievement and socioemotional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t xml:space="preserve">course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r>
        <w:t xml:space="preserve">Costa, A., Foucart, A., Hayakawa, S., Aparici, M., Apesteguia, J., Heafner, J., &amp; Keysar, B. (2014). Your morals depend on language. </w:t>
      </w:r>
      <w:r>
        <w:rPr>
          <w:i/>
        </w:rPr>
        <w:t>PloS One, 9</w:t>
      </w:r>
      <w:r>
        <w:t>(4), e94842.</w:t>
      </w:r>
    </w:p>
    <w:p w:rsidR="00166FEB" w:rsidRDefault="004A0290" w:rsidP="004A6B1D">
      <w:pPr>
        <w:pStyle w:val="Bib"/>
        <w:rPr>
          <w:lang w:eastAsia="x-none"/>
        </w:rPr>
      </w:pPr>
      <w:r w:rsidRPr="00827269">
        <w:t>Hackman, D.A., Farah, M.J. &amp; Meaney,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tterjee, P., &amp; Canda,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r>
        <w:t>Vourlekis,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Gruyyer.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t xml:space="preserve">course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r w:rsidRPr="00B04900">
        <w:t xml:space="preserve">Kristjansson,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rPr>
                <w:lang w:val="en-US" w:eastAsia="en-US"/>
              </w:rPr>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lastRenderedPageBreak/>
        <w:t>Required Readings</w:t>
      </w:r>
    </w:p>
    <w:p w:rsidR="00AB14D9" w:rsidRDefault="0070366A" w:rsidP="00AB14D9">
      <w:pPr>
        <w:pStyle w:val="Bib"/>
      </w:pPr>
      <w:r w:rsidRPr="00B04900">
        <w:t xml:space="preserve">Bandura, A. (1994). Self-efficacy. In V. S. Ramachaudran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Self-efficacy in changing societies</w:t>
      </w:r>
      <w:r w:rsidR="00134897">
        <w:rPr>
          <w:i/>
        </w:rPr>
        <w:t xml:space="preserve"> </w:t>
      </w:r>
      <w:r w:rsidR="00134897">
        <w:t xml:space="preserve"> (pp.</w:t>
      </w:r>
      <w:r w:rsidR="00C1388B">
        <w:t xml:space="preserve"> 1-45).  Cambirdge</w:t>
      </w:r>
      <w:r w:rsidR="00433C16">
        <w:t>, UK: Cambridge University Press.</w:t>
      </w:r>
    </w:p>
    <w:p w:rsidR="006E4537" w:rsidRDefault="00011626" w:rsidP="0070366A">
      <w:pPr>
        <w:pStyle w:val="Bib"/>
      </w:pPr>
      <w:r w:rsidRPr="00B04900">
        <w:t>Chavis,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54-64. doi: 10.1090/10911359.2011.598828.</w:t>
      </w:r>
    </w:p>
    <w:p w:rsidR="002E23F2" w:rsidRDefault="00E85FC5" w:rsidP="002E23F2">
      <w:pPr>
        <w:pStyle w:val="Bib"/>
      </w:pPr>
      <w:r w:rsidRPr="00B04900">
        <w:t xml:space="preserve"> </w:t>
      </w:r>
      <w:r w:rsidR="0070366A" w:rsidRPr="00B04900">
        <w:t xml:space="preserve">Robbins, S. P., Chatterjee, P., &amp; Canda,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t xml:space="preserve">course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Lapinski,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Pajares, F. (2008). Sources of self-efficacy in school: Critical review of the literature and future directions. </w:t>
      </w:r>
      <w:r w:rsidRPr="004A6B1D">
        <w:rPr>
          <w:bCs/>
          <w:i/>
        </w:rPr>
        <w:t>Review of Educational Research, 78</w:t>
      </w:r>
      <w:r w:rsidRPr="004A6B1D">
        <w:rPr>
          <w:bCs/>
        </w:rPr>
        <w:t xml:space="preserve">(4),751-796.(Note: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r w:rsidRPr="00F62504">
        <w:t xml:space="preserve">Guo, W. &amp; Tsui,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r w:rsidRPr="00F62504">
        <w:t>social work practice</w:t>
      </w:r>
      <w:r w:rsidRPr="00F62504">
        <w:rPr>
          <w:i/>
        </w:rPr>
        <w:t>. International Social Work, 53</w:t>
      </w:r>
      <w:r w:rsidRPr="00F62504">
        <w:t>(2), 233-245. doi: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r w:rsidRPr="00F62504">
        <w:t>Hur,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r w:rsidRPr="00F62504">
        <w:rPr>
          <w:rFonts w:cs="Arial"/>
          <w:color w:val="000000"/>
        </w:rPr>
        <w:t xml:space="preserve">and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photovoice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photographs </w:t>
      </w:r>
      <w:r>
        <w:t xml:space="preserve"> (pp.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lastRenderedPageBreak/>
        <w:t xml:space="preserve">Robbins, S. P., Chatterjee, P., &amp; Canda,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r w:rsidRPr="00F62504">
        <w:t xml:space="preserve">Sellick,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Beardslee, W.R. (2012). The effects of poverty on the mental, emotional, </w:t>
      </w:r>
    </w:p>
    <w:p w:rsidR="0085575E" w:rsidRPr="00F62504" w:rsidRDefault="0085575E" w:rsidP="0085575E">
      <w:pPr>
        <w:autoSpaceDE w:val="0"/>
        <w:autoSpaceDN w:val="0"/>
        <w:adjustRightInd w:val="0"/>
        <w:ind w:firstLine="720"/>
        <w:rPr>
          <w:i/>
        </w:rPr>
      </w:pPr>
      <w:r w:rsidRPr="00F62504">
        <w:t>and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(4), 272-284. doi: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r w:rsidRPr="0073784C">
        <w:t xml:space="preserve">Dominelli,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Robbins, S. P., Chatterjee, P., &amp; Canda,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r w:rsidRPr="0073784C">
        <w:t xml:space="preserve">Sidanius, J., Pratto, F., van Laar,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w:t>
      </w:r>
      <w:r w:rsidRPr="0073784C">
        <w:rPr>
          <w:lang w:val="en-US"/>
        </w:rPr>
        <w:t>ecommende</w:t>
      </w:r>
      <w:r w:rsidRPr="0073784C">
        <w:t>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Meschede,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p>
          <w:p w:rsidR="0070366A" w:rsidRPr="0070366A" w:rsidRDefault="0070366A" w:rsidP="00FC1745">
            <w:pPr>
              <w:pStyle w:val="Level1"/>
              <w:numPr>
                <w:ilvl w:val="0"/>
                <w:numId w:val="0"/>
              </w:numPr>
              <w:rPr>
                <w:lang w:val="en-US" w:eastAsia="en-US"/>
              </w:rPr>
            </w:pP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Stefancic,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Stefancic,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Jani,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Capodilupo, C. M., Torino, G.C., Bucceri, J.M., Holder, A.M.B., Nadal, K.L., &amp; Esquilin, M. </w:t>
      </w:r>
    </w:p>
    <w:p w:rsidR="00F25D08" w:rsidRDefault="00F25D08" w:rsidP="00F25D08">
      <w:pPr>
        <w:rPr>
          <w:i/>
        </w:rPr>
      </w:pPr>
      <w:r>
        <w:tab/>
        <w:t xml:space="preserve">(2007). Racial microagressions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r>
        <w:t xml:space="preserve">Crul, M., Schneider, J., &amp; Lelie,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t xml:space="preserve">course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6979"/>
        <w:gridCol w:w="2363"/>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rPr>
          <w:lang w:val="en-US"/>
        </w:rPr>
      </w:pPr>
      <w:r>
        <w:t>This Unit relates to course objectives 1-5.</w:t>
      </w:r>
    </w:p>
    <w:p w:rsidR="00FC1745" w:rsidRDefault="00FC1745" w:rsidP="00FC1745">
      <w:pPr>
        <w:pStyle w:val="Level1"/>
      </w:pPr>
      <w:r>
        <w:t>Course wrap up</w:t>
      </w:r>
    </w:p>
    <w:p w:rsidR="00FC1745" w:rsidRPr="0070366A" w:rsidRDefault="00FC1745" w:rsidP="00FC1745">
      <w:pPr>
        <w:pStyle w:val="Level1"/>
      </w:pPr>
      <w:r>
        <w:t>Discussion of lessons learned from the Final Paper assignment</w:t>
      </w:r>
    </w:p>
    <w:p w:rsidR="00FC1745" w:rsidRDefault="00FC1745" w:rsidP="00FC1745">
      <w:pPr>
        <w:pStyle w:val="Level1"/>
      </w:pPr>
      <w:r>
        <w:t>Course evaluations</w:t>
      </w:r>
    </w:p>
    <w:p w:rsidR="00FC1745" w:rsidRDefault="00FC1745" w:rsidP="00FC1745">
      <w:pPr>
        <w:pStyle w:val="Level1"/>
        <w:numPr>
          <w:ilvl w:val="0"/>
          <w:numId w:val="0"/>
        </w:numPr>
        <w:ind w:left="288"/>
      </w:pPr>
    </w:p>
    <w:p w:rsidR="00FC1745" w:rsidRDefault="00FC1745" w:rsidP="00FC1745">
      <w:pPr>
        <w:pStyle w:val="Heading3"/>
      </w:pPr>
      <w:r>
        <w:t>*Final Paper Due by 11:59pm PST*</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rsidTr="00E85E70">
        <w:trPr>
          <w:cantSplit/>
          <w:tblHeader/>
        </w:trPr>
        <w:tc>
          <w:tcPr>
            <w:tcW w:w="7110" w:type="dxa"/>
            <w:shd w:val="clear" w:color="auto" w:fill="C00000"/>
          </w:tcPr>
          <w:p w:rsidR="00FC1745" w:rsidRPr="00EA1A58" w:rsidRDefault="00FC1745" w:rsidP="00E85E70">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E85E70">
            <w:pPr>
              <w:keepNext/>
              <w:spacing w:before="20" w:after="20"/>
              <w:jc w:val="right"/>
              <w:rPr>
                <w:rFonts w:cs="Arial"/>
                <w:b/>
                <w:color w:val="FFFFFF"/>
                <w:sz w:val="22"/>
                <w:szCs w:val="22"/>
              </w:rPr>
            </w:pPr>
          </w:p>
        </w:tc>
      </w:tr>
    </w:tbl>
    <w:p w:rsidR="000430EC" w:rsidRDefault="000430EC" w:rsidP="000430EC">
      <w:pPr>
        <w:pStyle w:val="Heading3"/>
        <w:rPr>
          <w:lang w:val="en-US"/>
        </w:rPr>
      </w:pPr>
    </w:p>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8"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9"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0"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Skirball</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1"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2"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3" w:history="1">
        <w:r w:rsidRPr="00FB7D03">
          <w:rPr>
            <w:rStyle w:val="Hyperlink"/>
          </w:rPr>
          <w:t>rmaiden@usc.edu</w:t>
        </w:r>
      </w:hyperlink>
      <w:r>
        <w:t>. Or, if you are a student of the VAC, contact</w:t>
      </w:r>
      <w:r w:rsidR="00E51659">
        <w:t xml:space="preserve"> </w:t>
      </w:r>
      <w:r w:rsidR="005A7BA1">
        <w:t xml:space="preserve">Dr. Tyan Parker Dominguez, </w:t>
      </w:r>
      <w:hyperlink r:id="rId24"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D2" w:rsidRDefault="003044D2" w:rsidP="0070366A">
      <w:r>
        <w:separator/>
      </w:r>
    </w:p>
  </w:endnote>
  <w:endnote w:type="continuationSeparator" w:id="0">
    <w:p w:rsidR="003044D2" w:rsidRDefault="003044D2"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Default="00D11B19"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D11B19" w:rsidRDefault="00D1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Pr="00FE450F" w:rsidRDefault="00D11B19"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50EB3">
      <w:rPr>
        <w:rFonts w:cs="Arial"/>
        <w:noProof/>
        <w:color w:val="C00000"/>
      </w:rPr>
      <w:t>6</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50EB3">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Pr="00FE450F" w:rsidRDefault="00D11B19"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50EB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50EB3">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D2" w:rsidRDefault="003044D2" w:rsidP="0070366A">
      <w:r>
        <w:separator/>
      </w:r>
    </w:p>
  </w:footnote>
  <w:footnote w:type="continuationSeparator" w:id="0">
    <w:p w:rsidR="003044D2" w:rsidRDefault="003044D2"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Default="00D11B19">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Pr="00B65CE9" w:rsidRDefault="00D11B19" w:rsidP="0070366A">
    <w:pPr>
      <w:pStyle w:val="Header"/>
      <w:ind w:right="-180"/>
      <w:jc w:val="right"/>
      <w:rPr>
        <w:rFonts w:ascii="Verdana" w:hAnsi="Verdana"/>
        <w:b/>
        <w:sz w:val="24"/>
        <w:szCs w:val="24"/>
      </w:rPr>
    </w:pPr>
    <w:r>
      <w:rPr>
        <w:noProof/>
      </w:rPr>
      <w:drawing>
        <wp:inline distT="0" distB="0" distL="0" distR="0" wp14:anchorId="39C51802" wp14:editId="5936DF3D">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19" w:rsidRDefault="00D11B19" w:rsidP="0070366A">
    <w:pPr>
      <w:pStyle w:val="Header"/>
      <w:ind w:left="-540"/>
    </w:pPr>
    <w:r>
      <w:rPr>
        <w:noProof/>
      </w:rPr>
      <w:drawing>
        <wp:inline distT="0" distB="0" distL="0" distR="0" wp14:anchorId="291F112F" wp14:editId="27E312BD">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5pt;height:11.5pt" o:bullet="t">
        <v:imagedata r:id="rId1" o:title="MCBD21398_0000[1]"/>
      </v:shape>
    </w:pict>
  </w:numPicBullet>
  <w:numPicBullet w:numPicBulletId="1">
    <w:pict>
      <v:shape id="_x0000_i1077" type="#_x0000_t75" style="width:13.5pt;height:13.5pt" o:bullet="t">
        <v:imagedata r:id="rId2" o:title="MCBD21329_0000[1]"/>
      </v:shape>
    </w:pict>
  </w:numPicBullet>
  <w:numPicBullet w:numPicBulletId="2">
    <w:pict>
      <v:shape id="_x0000_i1078" type="#_x0000_t75" style="width:9pt;height:9pt" o:bullet="t">
        <v:imagedata r:id="rId3" o:title="MCBD15312_0000[1]"/>
      </v:shape>
    </w:pict>
  </w:numPicBullet>
  <w:numPicBullet w:numPicBulletId="3">
    <w:pict>
      <v:shape id="_x0000_i1079" type="#_x0000_t75" style="width:9pt;height:9pt" o:bullet="t">
        <v:imagedata r:id="rId4" o:title="BD14868_"/>
      </v:shape>
    </w:pict>
  </w:numPicBullet>
  <w:numPicBullet w:numPicBulletId="4">
    <w:pict>
      <v:shape id="_x0000_i1080"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31A3"/>
    <w:rsid w:val="00056911"/>
    <w:rsid w:val="000631E1"/>
    <w:rsid w:val="000632B6"/>
    <w:rsid w:val="00076271"/>
    <w:rsid w:val="00077933"/>
    <w:rsid w:val="000826B9"/>
    <w:rsid w:val="00087A2C"/>
    <w:rsid w:val="0009027E"/>
    <w:rsid w:val="000946CC"/>
    <w:rsid w:val="000A0529"/>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65EE1"/>
    <w:rsid w:val="00166FEB"/>
    <w:rsid w:val="00176861"/>
    <w:rsid w:val="001836A3"/>
    <w:rsid w:val="00187BB4"/>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044D2"/>
    <w:rsid w:val="003146E8"/>
    <w:rsid w:val="00316C15"/>
    <w:rsid w:val="00323C4B"/>
    <w:rsid w:val="00327D26"/>
    <w:rsid w:val="00330A45"/>
    <w:rsid w:val="00330DC0"/>
    <w:rsid w:val="00336E20"/>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3622"/>
    <w:rsid w:val="005652FC"/>
    <w:rsid w:val="0057496C"/>
    <w:rsid w:val="00581E73"/>
    <w:rsid w:val="00584245"/>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48C1"/>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165A4"/>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0928"/>
    <w:rsid w:val="00C26E5C"/>
    <w:rsid w:val="00C26FE2"/>
    <w:rsid w:val="00C34E4C"/>
    <w:rsid w:val="00C50EB3"/>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11B19"/>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E70"/>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98AB3E-CFA6-4498-9967-06683A94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e.wiley@usc.edu" TargetMode="External"/><Relationship Id="rId13" Type="http://schemas.openxmlformats.org/officeDocument/2006/relationships/hyperlink" Target="http://www.zerotothree.org" TargetMode="External"/><Relationship Id="rId18" Type="http://schemas.openxmlformats.org/officeDocument/2006/relationships/hyperlink" Target="mailto:mabil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rile@usc.edu" TargetMode="External"/><Relationship Id="rId7" Type="http://schemas.openxmlformats.org/officeDocument/2006/relationships/endnotes" Target="endnotes.xml"/><Relationship Id="rId12" Type="http://schemas.openxmlformats.org/officeDocument/2006/relationships/hyperlink" Target="http://www.naswdc.org/pubs/code/default.asp" TargetMode="External"/><Relationship Id="rId17" Type="http://schemas.openxmlformats.org/officeDocument/2006/relationships/hyperlink" Target="http://www.usc.edu/student-affairs/SJA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student-affairs/student-conduct/ug_plag.htm" TargetMode="External"/><Relationship Id="rId24" Type="http://schemas.openxmlformats.org/officeDocument/2006/relationships/hyperlink" Target="mailto:tyanpark@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milyunityfamilyhealth.org" TargetMode="External"/><Relationship Id="rId23" Type="http://schemas.openxmlformats.org/officeDocument/2006/relationships/hyperlink" Target="mailto:rmaiden@usc.edu" TargetMode="External"/><Relationship Id="rId28" Type="http://schemas.openxmlformats.org/officeDocument/2006/relationships/footer" Target="footer2.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lyon.levine@usc.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46DBE-A281-4BD1-B31C-2CCBC40E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49093</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Customer</cp:lastModifiedBy>
  <cp:revision>2</cp:revision>
  <cp:lastPrinted>2014-07-01T18:28:00Z</cp:lastPrinted>
  <dcterms:created xsi:type="dcterms:W3CDTF">2014-07-27T21:02:00Z</dcterms:created>
  <dcterms:modified xsi:type="dcterms:W3CDTF">2014-07-27T21:02:00Z</dcterms:modified>
</cp:coreProperties>
</file>